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DITAP In-Class Facilitator Guide</w:t>
      </w:r>
    </w:p>
    <w:p w:rsidR="00000000" w:rsidDel="00000000" w:rsidP="00000000" w:rsidRDefault="00000000" w:rsidRPr="00000000" w14:paraId="0000000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Module 2 Sprint 1</w:t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Session Title: </w:t>
      </w:r>
      <w:r w:rsidDel="00000000" w:rsidR="00000000" w:rsidRPr="00000000">
        <w:rPr>
          <w:rtl w:val="0"/>
        </w:rPr>
        <w:t xml:space="preserve">Mapping Casey’s Stakeholders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[Insert Date]</w:t>
        <w:br w:type="textWrapping"/>
      </w: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[Insert Start and End Time]</w:t>
        <w:br w:type="textWrapping"/>
      </w:r>
      <w:r w:rsidDel="00000000" w:rsidR="00000000" w:rsidRPr="00000000">
        <w:rPr>
          <w:b w:val="1"/>
          <w:rtl w:val="0"/>
        </w:rPr>
        <w:t xml:space="preserve">Location:</w:t>
      </w:r>
      <w:r w:rsidDel="00000000" w:rsidR="00000000" w:rsidRPr="00000000">
        <w:rPr>
          <w:rtl w:val="0"/>
        </w:rPr>
        <w:t xml:space="preserve"> [Insert Location or Link]</w:t>
        <w:br w:type="textWrapping"/>
      </w:r>
      <w:r w:rsidDel="00000000" w:rsidR="00000000" w:rsidRPr="00000000">
        <w:rPr>
          <w:b w:val="1"/>
          <w:rtl w:val="0"/>
        </w:rPr>
        <w:t xml:space="preserve">Target Audience:</w:t>
      </w:r>
      <w:r w:rsidDel="00000000" w:rsidR="00000000" w:rsidRPr="00000000">
        <w:rPr>
          <w:rtl w:val="0"/>
        </w:rPr>
        <w:t xml:space="preserve"> Federal acquisition professionals enrolled in DITAP</w:t>
        <w:br w:type="textWrapping"/>
      </w:r>
      <w:r w:rsidDel="00000000" w:rsidR="00000000" w:rsidRPr="00000000">
        <w:rPr>
          <w:b w:val="1"/>
          <w:rtl w:val="0"/>
        </w:rPr>
        <w:t xml:space="preserve">Facilitator(s):</w:t>
      </w:r>
      <w:r w:rsidDel="00000000" w:rsidR="00000000" w:rsidRPr="00000000">
        <w:rPr>
          <w:rtl w:val="0"/>
        </w:rPr>
        <w:t xml:space="preserve"> [Insert Facilitator Name(s)]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vv9yby1wf6rp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I. Overview &amp; Objectives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 this session, learners apply stakeholder mapping techniques to </w:t>
      </w:r>
      <w:r w:rsidDel="00000000" w:rsidR="00000000" w:rsidRPr="00000000">
        <w:rPr>
          <w:b w:val="1"/>
          <w:rtl w:val="0"/>
        </w:rPr>
        <w:t xml:space="preserve">Milestone 1 </w:t>
      </w:r>
      <w:r w:rsidDel="00000000" w:rsidR="00000000" w:rsidRPr="00000000">
        <w:rPr>
          <w:rtl w:val="0"/>
        </w:rPr>
        <w:t xml:space="preserve">of the Cynuria case study. The focus is on identifying key players, analyzing their influence and concerns, and understanding how those dynamics shape acquisition planning.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This activity builds foundational awareness of how stakeholder relationships, organizational readiness, and early planning inform strategic decisions throughout the digital acquisition process.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firstLine="360"/>
      </w:pPr>
      <w:r w:rsidDel="00000000" w:rsidR="00000000" w:rsidRPr="00000000">
        <w:rPr>
          <w:rtl w:val="0"/>
        </w:rPr>
        <w:t xml:space="preserve">Identify key stakeholders and assess their influence, concerns, and alignment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firstLine="360"/>
      </w:pPr>
      <w:r w:rsidDel="00000000" w:rsidR="00000000" w:rsidRPr="00000000">
        <w:rPr>
          <w:rtl w:val="0"/>
        </w:rPr>
        <w:t xml:space="preserve">Analyze how stakeholder dynamics impact early acquisition strategy</w:t>
        <w:br w:type="textWrapping"/>
        <w:t xml:space="preserve">Practice applying discovery tools (e.g., stakeholder mapping) to a real-world scenario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firstLine="360"/>
        <w:rPr/>
      </w:pPr>
      <w:r w:rsidDel="00000000" w:rsidR="00000000" w:rsidRPr="00000000">
        <w:rPr>
          <w:rtl w:val="0"/>
        </w:rPr>
        <w:t xml:space="preserve">Build connections between stakeholder analysis and future planning steps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0" w:beforeAutospacing="0" w:lineRule="auto"/>
        <w:ind w:firstLine="360"/>
        <w:rPr/>
      </w:pPr>
      <w:r w:rsidDel="00000000" w:rsidR="00000000" w:rsidRPr="00000000">
        <w:rPr>
          <w:rtl w:val="0"/>
        </w:rPr>
        <w:t xml:space="preserve">Recognize federal-specific stakeholder constraints and opportunities that differ from private sector contexts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25iuhmeinaxj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II. Materials &amp; Preparation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Materials: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firstLine="360"/>
      </w:pPr>
      <w:r w:rsidDel="00000000" w:rsidR="00000000" w:rsidRPr="00000000">
        <w:rPr>
          <w:rtl w:val="0"/>
        </w:rPr>
        <w:t xml:space="preserve">Cynuria Case Study: Milestone 1 (Stakeholder Analysis)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firstLine="360"/>
      </w:pPr>
      <w:r w:rsidDel="00000000" w:rsidR="00000000" w:rsidRPr="00000000">
        <w:rPr>
          <w:rtl w:val="0"/>
        </w:rPr>
        <w:t xml:space="preserve">Slides on stakeholder research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firstLine="360"/>
      </w:pPr>
      <w:r w:rsidDel="00000000" w:rsidR="00000000" w:rsidRPr="00000000">
        <w:rPr>
          <w:rtl w:val="0"/>
        </w:rPr>
        <w:t xml:space="preserve">Optional resources: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Stakeholder Mapping Templates or Worksheets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Market Research Planning Template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Pre-Read for Participants: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240" w:lineRule="auto"/>
        <w:ind w:firstLine="360"/>
      </w:pPr>
      <w:r w:rsidDel="00000000" w:rsidR="00000000" w:rsidRPr="00000000">
        <w:rPr>
          <w:rtl w:val="0"/>
        </w:rPr>
        <w:t xml:space="preserve">Read Cynuria Case Study 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240" w:before="0" w:beforeAutospacing="0" w:lineRule="auto"/>
        <w:ind w:firstLine="360"/>
      </w:pPr>
      <w:r w:rsidDel="00000000" w:rsidR="00000000" w:rsidRPr="00000000">
        <w:rPr>
          <w:rtl w:val="0"/>
        </w:rPr>
        <w:t xml:space="preserve">Specifically prepare for Milestone 1: Stakeholder Analysis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6zbqgdplahxg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III. Session Agenda &amp; Activities</w:t>
      </w:r>
    </w:p>
    <w:bookmarkStart w:colFirst="0" w:colLast="0" w:name="zdd724ujchba" w:id="3"/>
    <w:bookmarkEnd w:id="3"/>
    <w:p w:rsidR="00000000" w:rsidDel="00000000" w:rsidP="00000000" w:rsidRDefault="00000000" w:rsidRPr="00000000" w14:paraId="0000001A">
      <w:pPr>
        <w:spacing w:after="20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(Sprint 1) </w:t>
      </w:r>
      <w:r w:rsidDel="00000000" w:rsidR="00000000" w:rsidRPr="00000000">
        <w:rPr>
          <w:b w:val="1"/>
          <w:rtl w:val="0"/>
        </w:rPr>
        <w:t xml:space="preserve">Activity Title:</w:t>
      </w:r>
      <w:r w:rsidDel="00000000" w:rsidR="00000000" w:rsidRPr="00000000">
        <w:rPr>
          <w:rtl w:val="0"/>
        </w:rPr>
        <w:t xml:space="preserve"> Mapping Casey’s Stakeholders</w:t>
        <w:br w:type="textWrapping"/>
      </w: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45 minutes</w:t>
        <w:br w:type="textWrapping"/>
      </w:r>
      <w:r w:rsidDel="00000000" w:rsidR="00000000" w:rsidRPr="00000000">
        <w:rPr>
          <w:b w:val="1"/>
          <w:rtl w:val="0"/>
        </w:rPr>
        <w:t xml:space="preserve">Purpose: </w:t>
      </w:r>
      <w:r w:rsidDel="00000000" w:rsidR="00000000" w:rsidRPr="00000000">
        <w:rPr>
          <w:rtl w:val="0"/>
        </w:rPr>
        <w:t xml:space="preserve">Apply stakeholder mapping techniques to Casey’s context and identify key players, their interests, and potential areas of 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Instructions: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240" w:lineRule="auto"/>
        <w:ind w:firstLine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Federal Acquisition Context Setup (Add 5-10 for facilitator)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Brief overview of the typical federal acquisition stakeholder ecosystem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Explanation of unique federal constraints (FAR compliance, political oversight, career vs. political appointee dynamics)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Context on why federal stakeholder management differs from the private sector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firstLine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Warm-Up Prompt:</w:t>
      </w:r>
      <w:r w:rsidDel="00000000" w:rsidR="00000000" w:rsidRPr="00000000">
        <w:rPr>
          <w:rtl w:val="0"/>
        </w:rPr>
        <w:t xml:space="preserve"> Imagine you're in Casey’s position at the start of the CRM project. How confident do you feel—on a scale from 0 to 5—in your ability to conduct a stakeholder analysis that identifies key players, maps influence and concerns, and informs next steps?”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Compare answers on lower end of spectrum and higher end of spectrum, sharing learnings and surfacing points you may want to hit on during the following activity and discussion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firstLine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Stakeholder Mapping in Groups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In small groups, have learners map out the key stakeholders in the case, using </w:t>
      </w:r>
      <w:r w:rsidDel="00000000" w:rsidR="00000000" w:rsidRPr="00000000">
        <w:rPr>
          <w:b w:val="1"/>
          <w:rtl w:val="0"/>
        </w:rPr>
        <w:t xml:space="preserve">Milestone 1.</w:t>
      </w:r>
      <w:r w:rsidDel="00000000" w:rsidR="00000000" w:rsidRPr="00000000">
        <w:rPr>
          <w:rtl w:val="0"/>
        </w:rPr>
        <w:t xml:space="preserve"> Consider </w:t>
      </w:r>
      <w:r w:rsidDel="00000000" w:rsidR="00000000" w:rsidRPr="00000000">
        <w:rPr>
          <w:rtl w:val="0"/>
        </w:rPr>
        <w:t xml:space="preserve">providing a template</w:t>
      </w:r>
      <w:r w:rsidDel="00000000" w:rsidR="00000000" w:rsidRPr="00000000">
        <w:rPr>
          <w:rtl w:val="0"/>
        </w:rPr>
        <w:t xml:space="preserve"> for this or encourage participants to recreate the example embedded in the case study.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Rule="auto"/>
        <w:ind w:firstLine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Group Share Outs:</w:t>
      </w:r>
      <w:r w:rsidDel="00000000" w:rsidR="00000000" w:rsidRPr="00000000">
        <w:rPr>
          <w:rtl w:val="0"/>
        </w:rPr>
        <w:t xml:space="preserve"> As each group shares their map, ask them to discuss influence, concerns, alignment, and barriers among stakeholders.</w:t>
      </w:r>
      <w:r w:rsidDel="00000000" w:rsidR="00000000" w:rsidRPr="00000000">
        <w:rPr>
          <w:rtl w:val="0"/>
        </w:rPr>
        <w:t xml:space="preserve"> Encourage learners to cite specific evidence from the case to support their analysis.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Who holds formal decision-making power? Who has informal influence? Who can block or accelerate the project?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are each stakeholder’s primary worries or hesitations about the CRM procurement? Are they technical, political, legal, cultural?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Which stakeholders are aligned with Casey’s goals? Where is there shared vision or mutual interest?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dynamics (e.g., mistrust, past project failures, misaligned incentives) may make collaboration difficult?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assumptions are being made? Where might conflicts arise?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0" w:beforeAutospacing="0" w:lineRule="auto"/>
        <w:ind w:firstLine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Debrief </w:t>
      </w:r>
      <w:r w:rsidDel="00000000" w:rsidR="00000000" w:rsidRPr="00000000">
        <w:rPr>
          <w:rtl w:val="0"/>
        </w:rPr>
        <w:t xml:space="preserve">as a full group: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early constraints do we see in the stakeholder environment?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key information is missing or unclear?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would you need to learn through market research to move forward?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challenges surprised you in Casey’s early work?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do or would you handle tension between internal and external stakeholder demands?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parallels can you draw between Casey’s environment and your own? 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would you want to know next if you were Casey?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0" w:beforeAutospacing="0" w:lineRule="auto"/>
        <w:ind w:firstLine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Closing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Return back to the scale from the beginning of class and ask for updates and new insights.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lineRule="auto"/>
        <w:ind w:firstLine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Action Planning Bridge (5 minutes)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were Casey's advisor, what would you recommend for next steps?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Outcomes: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240" w:lineRule="auto"/>
        <w:ind w:firstLine="360"/>
      </w:pPr>
      <w:r w:rsidDel="00000000" w:rsidR="00000000" w:rsidRPr="00000000">
        <w:rPr>
          <w:rtl w:val="0"/>
        </w:rPr>
        <w:t xml:space="preserve">Stakeholder map developed with power/interest analysis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Rule="auto"/>
        <w:ind w:firstLine="360"/>
      </w:pPr>
      <w:r w:rsidDel="00000000" w:rsidR="00000000" w:rsidRPr="00000000">
        <w:rPr>
          <w:rtl w:val="0"/>
        </w:rPr>
        <w:t xml:space="preserve">Insight into competing priorities and potential risks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240" w:before="0" w:beforeAutospacing="0" w:lineRule="auto"/>
        <w:ind w:firstLine="360"/>
      </w:pPr>
      <w:r w:rsidDel="00000000" w:rsidR="00000000" w:rsidRPr="00000000">
        <w:rPr>
          <w:rtl w:val="0"/>
        </w:rPr>
        <w:t xml:space="preserve">Framing for downstream strategy decisions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Next Steps/Follow-Up: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240" w:before="240" w:lineRule="auto"/>
        <w:ind w:firstLine="360"/>
      </w:pPr>
      <w:r w:rsidDel="00000000" w:rsidR="00000000" w:rsidRPr="00000000">
        <w:rPr>
          <w:rtl w:val="0"/>
        </w:rPr>
        <w:t xml:space="preserve">Connect to the Stakeholder Analysis Project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i0x60selzfb0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IV. Additional Resources/ Appendix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240" w:lineRule="auto"/>
        <w:ind w:firstLine="360"/>
      </w:pPr>
      <w:r w:rsidDel="00000000" w:rsidR="00000000" w:rsidRPr="00000000">
        <w:rPr>
          <w:rtl w:val="0"/>
        </w:rPr>
        <w:t xml:space="preserve">[Optional] </w:t>
      </w:r>
      <w:r w:rsidDel="00000000" w:rsidR="00000000" w:rsidRPr="00000000">
        <w:rPr>
          <w:rtl w:val="0"/>
        </w:rPr>
        <w:t xml:space="preserve">Stakeholder Map Template (Power/Interest Grid)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40" w:before="0" w:beforeAutospacing="0" w:lineRule="auto"/>
        <w:ind w:firstLine="360"/>
      </w:pPr>
      <w:r w:rsidDel="00000000" w:rsidR="00000000" w:rsidRPr="00000000">
        <w:rPr>
          <w:rtl w:val="0"/>
        </w:rPr>
        <w:t xml:space="preserve">[Optional] Sample Market Research Plan Framework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sz w:val="24"/>
        <w:szCs w:val="24"/>
        <w:lang w:val="en"/>
      </w:rPr>
    </w:rPrDefault>
    <w:pPrDefault>
      <w:pPr>
        <w:spacing w:line="276" w:lineRule="auto"/>
        <w:ind w:left="720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EB Garamond SemiBold" w:cs="EB Garamond SemiBold" w:eastAsia="EB Garamond SemiBold" w:hAnsi="EB Garamond SemiBold"/>
      <w:color w:val="434343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EB Garamond SemiBold" w:cs="EB Garamond SemiBold" w:eastAsia="EB Garamond SemiBold" w:hAnsi="EB Garamond SemiBold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EB Garamond SemiBold" w:cs="EB Garamond SemiBold" w:eastAsia="EB Garamond SemiBold" w:hAnsi="EB Garamond SemiBold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EB Garamond SemiBold" w:cs="EB Garamond SemiBold" w:eastAsia="EB Garamond SemiBold" w:hAnsi="EB Garamond SemiBold"/>
      <w:color w:val="434343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EB Garamond" w:cs="EB Garamond" w:eastAsia="EB Garamond" w:hAnsi="EB Garamond"/>
      <w:b w:val="1"/>
      <w:color w:val="434343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EB Garamond" w:cs="EB Garamond" w:eastAsia="EB Garamond" w:hAnsi="EB Garamond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