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DITAP In-Class Facilitator Guide</w:t>
      </w:r>
    </w:p>
    <w:p w:rsidR="00000000" w:rsidDel="00000000" w:rsidP="00000000" w:rsidRDefault="00000000" w:rsidRPr="00000000" w14:paraId="00000002">
      <w:pPr>
        <w:spacing w:after="200" w:before="0" w:lineRule="auto"/>
        <w:ind w:left="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Module </w:t>
      </w:r>
      <w:r w:rsidDel="00000000" w:rsidR="00000000" w:rsidRPr="00000000">
        <w:rPr>
          <w:b w:val="1"/>
          <w:rtl w:val="0"/>
        </w:rPr>
        <w:t xml:space="preserve">6 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f1f1f"/>
          <w:sz w:val="21"/>
          <w:szCs w:val="21"/>
          <w:highlight w:val="white"/>
          <w:rtl w:val="0"/>
        </w:rPr>
        <w:t xml:space="preserve">After Module 4 or during Module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Session Title: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Laying Out a Recommendation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[Insert Date]</w:t>
        <w:br w:type="textWrapping"/>
      </w: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[Insert Start and End Time]</w:t>
        <w:br w:type="textWrapping"/>
      </w: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[Insert Location or Link]</w:t>
        <w:br w:type="textWrapping"/>
      </w:r>
      <w:r w:rsidDel="00000000" w:rsidR="00000000" w:rsidRPr="00000000">
        <w:rPr>
          <w:b w:val="1"/>
          <w:rtl w:val="0"/>
        </w:rPr>
        <w:t xml:space="preserve">Target Audience:</w:t>
      </w:r>
      <w:r w:rsidDel="00000000" w:rsidR="00000000" w:rsidRPr="00000000">
        <w:rPr>
          <w:rtl w:val="0"/>
        </w:rPr>
        <w:t xml:space="preserve"> Federal acquisition professionals enrolled in DITAP</w:t>
        <w:br w:type="textWrapping"/>
      </w:r>
      <w:r w:rsidDel="00000000" w:rsidR="00000000" w:rsidRPr="00000000">
        <w:rPr>
          <w:b w:val="1"/>
          <w:rtl w:val="0"/>
        </w:rPr>
        <w:t xml:space="preserve">Facilitator(s):</w:t>
      </w:r>
      <w:r w:rsidDel="00000000" w:rsidR="00000000" w:rsidRPr="00000000">
        <w:rPr>
          <w:rtl w:val="0"/>
        </w:rPr>
        <w:t xml:space="preserve"> [Insert Facilitator Name(s)]</w:t>
      </w:r>
    </w:p>
    <w:p w:rsidR="00000000" w:rsidDel="00000000" w:rsidP="00000000" w:rsidRDefault="00000000" w:rsidRPr="00000000" w14:paraId="00000004">
      <w:pPr>
        <w:spacing w:after="200" w:before="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200" w:before="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et6c45j0hszl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I. Overview &amp; Objectives</w:t>
      </w:r>
    </w:p>
    <w:p w:rsidR="00000000" w:rsidDel="00000000" w:rsidP="00000000" w:rsidRDefault="00000000" w:rsidRPr="00000000" w14:paraId="00000006">
      <w:pPr>
        <w:spacing w:after="20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earners will synthesize their insights from the full case study and the course. They will produce a written recommendation and deliver a team presentation outlining their approach to implementing a successful CRM system.</w:t>
      </w:r>
    </w:p>
    <w:p w:rsidR="00000000" w:rsidDel="00000000" w:rsidP="00000000" w:rsidRDefault="00000000" w:rsidRPr="00000000" w14:paraId="00000007">
      <w:pPr>
        <w:spacing w:after="20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This culmination invites learners to apply the full arc of the DITAP curriculum—from discovery through delivery—to a case study scenario. The milestone outputs require integration of technical strategy, stakeholder management, agile governance, and change leadership.</w:t>
      </w:r>
    </w:p>
    <w:p w:rsidR="00000000" w:rsidDel="00000000" w:rsidP="00000000" w:rsidRDefault="00000000" w:rsidRPr="00000000" w14:paraId="00000008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Integrate insights from discovery, evaluation, and planning phases to support digital service implementation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Synthesize tradeoffs and decisions into a coherent recommendation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Communicate a strategic approach that demonstrates stakeholder empathy, technical understanding, and adaptive leadership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Reflect on leadership growth through the case study experience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200" w:before="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3lwwg4ugxiuc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II. Materials &amp; Preparation</w:t>
      </w:r>
    </w:p>
    <w:p w:rsidR="00000000" w:rsidDel="00000000" w:rsidP="00000000" w:rsidRDefault="00000000" w:rsidRPr="00000000" w14:paraId="0000000E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Materials: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Cynuria Case Study Milestones 1–5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Milestone 4 and 5 Instructions (Written and Presentation Guidance)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00" w:lineRule="auto"/>
        <w:ind w:firstLine="360"/>
      </w:pPr>
      <w:r w:rsidDel="00000000" w:rsidR="00000000" w:rsidRPr="00000000">
        <w:rPr>
          <w:rtl w:val="0"/>
        </w:rPr>
        <w:t xml:space="preserve">Optional: Slide deck template</w:t>
      </w:r>
    </w:p>
    <w:p w:rsidR="00000000" w:rsidDel="00000000" w:rsidP="00000000" w:rsidRDefault="00000000" w:rsidRPr="00000000" w14:paraId="00000012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Preparation Checklist: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Ensure each group has access to their Milestone 1–3 notes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Prepare rubric for feedback or peer review</w:t>
      </w:r>
      <w:r w:rsidDel="00000000" w:rsidR="00000000" w:rsidRPr="00000000">
        <w:rPr>
          <w:rtl w:val="0"/>
        </w:rPr>
        <w:t xml:space="preserve"> (recommendation is to use standard class participation rubric but you may also use the rubric in the case study)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Create timing guidelines for group presentations (e.g., 6–8 min)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before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Create guidelines for feedback &amp; Q&amp;A round robin (e.g. Team 1 for Team 2, Team 2 for Team 3… Team 8 for Team 1)</w:t>
      </w:r>
    </w:p>
    <w:p w:rsidR="00000000" w:rsidDel="00000000" w:rsidP="00000000" w:rsidRDefault="00000000" w:rsidRPr="00000000" w14:paraId="00000017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Pre-Read for Participants: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Review team outputs from earlier Milestones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Review Milestone 4 and 5 guidance</w:t>
      </w:r>
    </w:p>
    <w:p w:rsidR="00000000" w:rsidDel="00000000" w:rsidP="00000000" w:rsidRDefault="00000000" w:rsidRPr="00000000" w14:paraId="0000001A">
      <w:pPr>
        <w:spacing w:after="200" w:before="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200" w:before="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pcujlgp83f2j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III. Session Agenda &amp; Activities</w:t>
      </w:r>
    </w:p>
    <w:p w:rsidR="00000000" w:rsidDel="00000000" w:rsidP="00000000" w:rsidRDefault="00000000" w:rsidRPr="00000000" w14:paraId="0000001C">
      <w:pPr>
        <w:spacing w:after="20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Activity Title: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Laying Out a Recommendation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1-2 classes 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synthesize learning and present final case study recommendations.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200" w:before="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Team Working 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Optional as in class activity)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rovide time for teams to finalize their written analysis and 6–8 slide presentation decks.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00" w:before="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Team Presentations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group presents their solution, covering: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Summary of the problem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Proposed solution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Tradeoffs and rationale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Key challenges and how they were addressed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Stakeholder engagement strategy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and performance tracking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Remind learners their analysis will be assessed based on their ability to address stakeholder concerns, propose viable solutions, and justify their recommendations. Strong responses incorporate: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Stakeholder Management</w:t>
      </w:r>
      <w:r w:rsidDel="00000000" w:rsidR="00000000" w:rsidRPr="00000000">
        <w:rPr>
          <w:rtl w:val="0"/>
        </w:rPr>
        <w:t xml:space="preserve">: Ongoing collaboration with IT and Compliance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: Justifying the choice of custom APIs</w:t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 Security</w:t>
      </w:r>
      <w:r w:rsidDel="00000000" w:rsidR="00000000" w:rsidRPr="00000000">
        <w:rPr>
          <w:rtl w:val="0"/>
        </w:rPr>
        <w:t xml:space="preserve">: Advanced encryption and audit plans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They might consider these questions: How did your discovery decisions show up in your solicitation strategy? In your evaluation criteria? In your delivery plan?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00" w:before="0" w:lineRule="auto"/>
        <w:ind w:firstLine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Q&amp;A and Peer Feedback Exchange: Round Robin Format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Assign each team in advance to give feedback to another.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Ask all learners to use the provided rubric to evaluate each presentation.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Model what thoughtful, constructive feedback looks like before the exchange.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Learner Instructions:</w:t>
      </w:r>
    </w:p>
    <w:p w:rsidR="00000000" w:rsidDel="00000000" w:rsidP="00000000" w:rsidRDefault="00000000" w:rsidRPr="00000000" w14:paraId="00000031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For your assigned team:</w:t>
      </w:r>
    </w:p>
    <w:p w:rsidR="00000000" w:rsidDel="00000000" w:rsidP="00000000" w:rsidRDefault="00000000" w:rsidRPr="00000000" w14:paraId="00000032">
      <w:pPr>
        <w:numPr>
          <w:ilvl w:val="3"/>
          <w:numId w:val="5"/>
        </w:numPr>
        <w:spacing w:after="200" w:before="0" w:lineRule="auto"/>
        <w:ind w:left="2880" w:hanging="360"/>
        <w:rPr/>
      </w:pPr>
      <w:r w:rsidDel="00000000" w:rsidR="00000000" w:rsidRPr="00000000">
        <w:rPr>
          <w:rtl w:val="0"/>
        </w:rPr>
        <w:t xml:space="preserve">Share one strength</w:t>
      </w:r>
    </w:p>
    <w:p w:rsidR="00000000" w:rsidDel="00000000" w:rsidP="00000000" w:rsidRDefault="00000000" w:rsidRPr="00000000" w14:paraId="00000033">
      <w:pPr>
        <w:numPr>
          <w:ilvl w:val="3"/>
          <w:numId w:val="5"/>
        </w:numPr>
        <w:spacing w:after="200" w:before="0" w:lineRule="auto"/>
        <w:ind w:left="2880" w:hanging="360"/>
        <w:rPr/>
      </w:pPr>
      <w:r w:rsidDel="00000000" w:rsidR="00000000" w:rsidRPr="00000000">
        <w:rPr>
          <w:rtl w:val="0"/>
        </w:rPr>
        <w:t xml:space="preserve">Offer one suggestion for improvement</w:t>
      </w:r>
    </w:p>
    <w:p w:rsidR="00000000" w:rsidDel="00000000" w:rsidP="00000000" w:rsidRDefault="00000000" w:rsidRPr="00000000" w14:paraId="00000034">
      <w:pPr>
        <w:numPr>
          <w:ilvl w:val="3"/>
          <w:numId w:val="5"/>
        </w:numPr>
        <w:spacing w:after="200" w:before="0" w:lineRule="auto"/>
        <w:ind w:left="2880" w:hanging="360"/>
        <w:rPr/>
      </w:pPr>
      <w:r w:rsidDel="00000000" w:rsidR="00000000" w:rsidRPr="00000000">
        <w:rPr>
          <w:rtl w:val="0"/>
        </w:rPr>
        <w:t xml:space="preserve">Ask one thoughtful follow-up question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Sample Feedback Questions: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“What did you learn during your analysis that surprised you?”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“What would you revisit if you had more time?”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“Which tradeoff was most difficult to justify?”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200" w:before="0" w:lineRule="auto"/>
        <w:ind w:firstLine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Reflection and Debrief (at least 30 min)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Revisit the </w:t>
      </w:r>
      <w:r w:rsidDel="00000000" w:rsidR="00000000" w:rsidRPr="00000000">
        <w:rPr>
          <w:b w:val="1"/>
          <w:rtl w:val="0"/>
        </w:rPr>
        <w:t xml:space="preserve">original purpose: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“The purpose of this case study is to consider creative solutions to a realistic scenario… as there is often no single way to solve a problem.”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How did your final recommendation reflect the complexity of the challenge?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Where did you make tradeoffs?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20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Learning Objectives: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Which stakeholder concerns were hardest to navigate?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What helped clarify your direction?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What insights came from evaluating integration and security options?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What new skills or strategies did you practice?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How did earlier modules (e.g., stakeholder mapping, delivery planning) shape your final approach?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200" w:before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Personal Growth: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spacing w:after="200" w:before="0" w:lineRule="auto"/>
        <w:ind w:left="216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What’s one takeaway about your own leadership or decision-making?</w:t>
      </w:r>
    </w:p>
    <w:p w:rsidR="00000000" w:rsidDel="00000000" w:rsidP="00000000" w:rsidRDefault="00000000" w:rsidRPr="00000000" w14:paraId="00000045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Outcomes: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200" w:before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Completed final presentation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200" w:before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Demonstrated ability to make strategic decisions under ambiguity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200" w:before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Peer-to-peer learning and reflection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Facilitator Tips: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200" w:before="0" w:lineRule="auto"/>
        <w:ind w:firstLine="360"/>
      </w:pPr>
      <w:r w:rsidDel="00000000" w:rsidR="00000000" w:rsidRPr="00000000">
        <w:rPr>
          <w:rtl w:val="0"/>
        </w:rPr>
        <w:t xml:space="preserve">Celebrate completion—this is a culminating moment in the course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200" w:lineRule="auto"/>
        <w:ind w:firstLine="360"/>
      </w:pPr>
      <w:r w:rsidDel="00000000" w:rsidR="00000000" w:rsidRPr="00000000">
        <w:rPr>
          <w:rtl w:val="0"/>
        </w:rPr>
        <w:t xml:space="preserve">Prompt teams to explicitly address FAR compliance in their recommendations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200" w:lineRule="auto"/>
        <w:ind w:firstLine="360"/>
      </w:pPr>
      <w:r w:rsidDel="00000000" w:rsidR="00000000" w:rsidRPr="00000000">
        <w:rPr>
          <w:rtl w:val="0"/>
        </w:rPr>
        <w:t xml:space="preserve">Guide discussion toward realistic federal implementation timelines and constraints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00" w:lineRule="auto"/>
        <w:ind w:firstLine="360"/>
      </w:pPr>
      <w:r w:rsidDel="00000000" w:rsidR="00000000" w:rsidRPr="00000000">
        <w:rPr>
          <w:rtl w:val="0"/>
        </w:rPr>
        <w:t xml:space="preserve">Help learners connect case study decisions to real federal acquisition scenarios they'll face</w:t>
      </w:r>
    </w:p>
    <w:p w:rsidR="00000000" w:rsidDel="00000000" w:rsidP="00000000" w:rsidRDefault="00000000" w:rsidRPr="00000000" w14:paraId="0000004E">
      <w:pPr>
        <w:spacing w:after="200" w:before="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F">
      <w:pPr>
        <w:spacing w:after="20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4"/>
        <w:szCs w:val="24"/>
        <w:lang w:val="en"/>
      </w:rPr>
    </w:rPrDefault>
    <w:pPrDefault>
      <w:pPr>
        <w:spacing w:line="276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EB Garamond SemiBold" w:cs="EB Garamond SemiBold" w:eastAsia="EB Garamond SemiBold" w:hAnsi="EB Garamond SemiBold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EB Garamond SemiBold" w:cs="EB Garamond SemiBold" w:eastAsia="EB Garamond SemiBold" w:hAnsi="EB Garamond SemiBold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EB Garamond SemiBold" w:cs="EB Garamond SemiBold" w:eastAsia="EB Garamond SemiBold" w:hAnsi="EB Garamond SemiBold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EB Garamond SemiBold" w:cs="EB Garamond SemiBold" w:eastAsia="EB Garamond SemiBold" w:hAnsi="EB Garamond SemiBold"/>
      <w:color w:val="434343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EB Garamond" w:cs="EB Garamond" w:eastAsia="EB Garamond" w:hAnsi="EB Garamond"/>
      <w:b w:val="1"/>
      <w:color w:val="434343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EB Garamond" w:cs="EB Garamond" w:eastAsia="EB Garamond" w:hAnsi="EB Garamond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SemiBold-italic.ttf"/><Relationship Id="rId10" Type="http://schemas.openxmlformats.org/officeDocument/2006/relationships/font" Target="fonts/EBGaramondSemiBold-bold.ttf"/><Relationship Id="rId13" Type="http://schemas.openxmlformats.org/officeDocument/2006/relationships/font" Target="fonts/EBGaramond-regular.ttf"/><Relationship Id="rId12" Type="http://schemas.openxmlformats.org/officeDocument/2006/relationships/font" Target="fonts/EBGaramondSemiBold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EBGaramondSemiBold-regular.ttf"/><Relationship Id="rId15" Type="http://schemas.openxmlformats.org/officeDocument/2006/relationships/font" Target="fonts/EBGaramond-italic.ttf"/><Relationship Id="rId14" Type="http://schemas.openxmlformats.org/officeDocument/2006/relationships/font" Target="fonts/EBGaramond-bold.ttf"/><Relationship Id="rId16" Type="http://schemas.openxmlformats.org/officeDocument/2006/relationships/font" Target="fonts/EBGaramond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