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351566" w:rsidRDefault="00000000">
      <w:pPr>
        <w:spacing w:before="240" w:after="240"/>
        <w:ind w:left="0"/>
      </w:pPr>
      <w:r>
        <w:rPr>
          <w:b/>
        </w:rPr>
        <w:t>DITAP In-Class Facilitator Guide</w:t>
      </w:r>
      <w:r>
        <w:t xml:space="preserve"> </w:t>
      </w:r>
    </w:p>
    <w:p w14:paraId="00000002" w14:textId="77777777" w:rsidR="00351566" w:rsidRDefault="00000000">
      <w:pPr>
        <w:spacing w:before="240" w:after="240"/>
        <w:ind w:left="0"/>
        <w:rPr>
          <w:b/>
        </w:rPr>
      </w:pPr>
      <w:r>
        <w:rPr>
          <w:b/>
        </w:rPr>
        <w:t>Module 3</w:t>
      </w:r>
      <w:r>
        <w:t xml:space="preserve"> </w:t>
      </w:r>
      <w:r>
        <w:rPr>
          <w:b/>
        </w:rPr>
        <w:t>Sprint 2</w:t>
      </w:r>
    </w:p>
    <w:p w14:paraId="00000003" w14:textId="77777777" w:rsidR="00351566" w:rsidRDefault="00000000">
      <w:pPr>
        <w:spacing w:before="240" w:after="240"/>
        <w:ind w:left="0"/>
      </w:pPr>
      <w:r>
        <w:rPr>
          <w:b/>
        </w:rPr>
        <w:t>Session Title:</w:t>
      </w:r>
      <w:r>
        <w:t xml:space="preserve"> Evaluating Data Security Solutions with SWOT &amp; Cost Estimation</w:t>
      </w:r>
      <w:r>
        <w:br/>
      </w:r>
      <w:r>
        <w:rPr>
          <w:b/>
        </w:rPr>
        <w:t>Date:</w:t>
      </w:r>
      <w:r>
        <w:t xml:space="preserve"> [Insert Date]</w:t>
      </w:r>
      <w:r>
        <w:br/>
      </w:r>
      <w:r>
        <w:rPr>
          <w:b/>
        </w:rPr>
        <w:t>Time:</w:t>
      </w:r>
      <w:r>
        <w:t xml:space="preserve"> [Insert Start and End Time]</w:t>
      </w:r>
      <w:r>
        <w:br/>
      </w:r>
      <w:r>
        <w:rPr>
          <w:b/>
        </w:rPr>
        <w:t>Location:</w:t>
      </w:r>
      <w:r>
        <w:t xml:space="preserve"> [Insert Location or Link]</w:t>
      </w:r>
      <w:r>
        <w:br/>
      </w:r>
      <w:r>
        <w:rPr>
          <w:b/>
        </w:rPr>
        <w:t>Target Audience:</w:t>
      </w:r>
      <w:r>
        <w:t xml:space="preserve"> Federal acquisition professionals enrolled in DITAP</w:t>
      </w:r>
      <w:r>
        <w:br/>
      </w:r>
      <w:r>
        <w:rPr>
          <w:b/>
        </w:rPr>
        <w:t>Facilitator(s):</w:t>
      </w:r>
      <w:r>
        <w:t xml:space="preserve"> [Insert Facilitator Name(s)]</w:t>
      </w:r>
    </w:p>
    <w:p w14:paraId="00000004" w14:textId="77777777" w:rsidR="00351566" w:rsidRDefault="00000000">
      <w:pPr>
        <w:spacing w:after="200"/>
        <w:ind w:left="0"/>
      </w:pPr>
      <w:r>
        <w:pict w14:anchorId="0655E1DB">
          <v:rect id="_x0000_i1025" style="width:0;height:1.5pt" o:hralign="center" o:hrstd="t" o:hr="t" fillcolor="#a0a0a0" stroked="f"/>
        </w:pict>
      </w:r>
    </w:p>
    <w:p w14:paraId="00000005" w14:textId="77777777" w:rsidR="00351566" w:rsidRDefault="00000000">
      <w:pPr>
        <w:pStyle w:val="Heading3"/>
        <w:keepNext w:val="0"/>
        <w:keepLines w:val="0"/>
        <w:spacing w:before="280"/>
        <w:ind w:left="0"/>
        <w:rPr>
          <w:rFonts w:ascii="Proxima Nova" w:eastAsia="Proxima Nova" w:hAnsi="Proxima Nova" w:cs="Proxima Nova"/>
          <w:b/>
          <w:color w:val="000000"/>
          <w:sz w:val="26"/>
          <w:szCs w:val="26"/>
        </w:rPr>
      </w:pPr>
      <w:bookmarkStart w:id="0" w:name="_h8zhy5bdwbuo" w:colFirst="0" w:colLast="0"/>
      <w:bookmarkEnd w:id="0"/>
      <w:r>
        <w:rPr>
          <w:rFonts w:ascii="Proxima Nova" w:eastAsia="Proxima Nova" w:hAnsi="Proxima Nova" w:cs="Proxima Nova"/>
          <w:b/>
          <w:color w:val="000000"/>
          <w:sz w:val="26"/>
          <w:szCs w:val="26"/>
        </w:rPr>
        <w:t>I. Overview &amp; Objectives</w:t>
      </w:r>
    </w:p>
    <w:p w14:paraId="00000006" w14:textId="77777777" w:rsidR="00351566" w:rsidRDefault="00000000">
      <w:pPr>
        <w:spacing w:before="240" w:after="240"/>
        <w:ind w:left="0"/>
      </w:pPr>
      <w:r>
        <w:t xml:space="preserve">In this session, learners will analyze two data security options presented in </w:t>
      </w:r>
      <w:r>
        <w:rPr>
          <w:b/>
        </w:rPr>
        <w:t xml:space="preserve">Milestone 3 </w:t>
      </w:r>
      <w:r>
        <w:t>of the Cynuria case study. Using SWOT analysis and high-level life cycle cost estimation, they will evaluate trade-offs and recommend a solution aligned with performance, risk, and agency needs. This session builds on earlier strategy decisions and strengthens learners' comfort evaluating technical constraints and affordability.</w:t>
      </w:r>
    </w:p>
    <w:p w14:paraId="00000007" w14:textId="77777777" w:rsidR="00351566" w:rsidRDefault="00000000">
      <w:pPr>
        <w:spacing w:before="240" w:after="240"/>
        <w:ind w:left="0"/>
        <w:rPr>
          <w:b/>
        </w:rPr>
      </w:pPr>
      <w:r>
        <w:rPr>
          <w:b/>
        </w:rPr>
        <w:t>Learning Objectives:</w:t>
      </w:r>
    </w:p>
    <w:p w14:paraId="00000008" w14:textId="77777777" w:rsidR="00351566" w:rsidRDefault="00000000">
      <w:pPr>
        <w:numPr>
          <w:ilvl w:val="0"/>
          <w:numId w:val="1"/>
        </w:numPr>
        <w:spacing w:before="240"/>
        <w:ind w:firstLine="360"/>
      </w:pPr>
      <w:r>
        <w:t>Use SWOT analysis to compare data security options</w:t>
      </w:r>
    </w:p>
    <w:p w14:paraId="00000009" w14:textId="77777777" w:rsidR="00351566" w:rsidRDefault="00000000">
      <w:pPr>
        <w:numPr>
          <w:ilvl w:val="0"/>
          <w:numId w:val="1"/>
        </w:numPr>
        <w:ind w:firstLine="360"/>
      </w:pPr>
      <w:r>
        <w:t>Apply structured thinking to life cycle cost estimation (LCCE)</w:t>
      </w:r>
    </w:p>
    <w:p w14:paraId="0000000A" w14:textId="77777777" w:rsidR="00351566" w:rsidRDefault="00000000">
      <w:pPr>
        <w:numPr>
          <w:ilvl w:val="0"/>
          <w:numId w:val="1"/>
        </w:numPr>
        <w:spacing w:after="240"/>
        <w:ind w:firstLine="360"/>
      </w:pPr>
      <w:r>
        <w:t>Recommend a solution that balances security, cost, and system performance</w:t>
      </w:r>
      <w:r>
        <w:br/>
      </w:r>
    </w:p>
    <w:p w14:paraId="0000000B" w14:textId="77777777" w:rsidR="00351566" w:rsidRDefault="00000000">
      <w:pPr>
        <w:spacing w:before="240" w:after="240"/>
        <w:ind w:left="0"/>
        <w:rPr>
          <w:b/>
          <w:color w:val="000000"/>
          <w:sz w:val="26"/>
          <w:szCs w:val="26"/>
        </w:rPr>
      </w:pPr>
      <w:r>
        <w:rPr>
          <w:b/>
          <w:color w:val="000000"/>
          <w:sz w:val="26"/>
          <w:szCs w:val="26"/>
        </w:rPr>
        <w:t>II. Materials &amp; Preparation</w:t>
      </w:r>
    </w:p>
    <w:p w14:paraId="0000000C" w14:textId="77777777" w:rsidR="00351566" w:rsidRDefault="00000000">
      <w:pPr>
        <w:spacing w:before="240" w:after="240"/>
        <w:ind w:left="0"/>
        <w:rPr>
          <w:b/>
        </w:rPr>
      </w:pPr>
      <w:r>
        <w:rPr>
          <w:b/>
        </w:rPr>
        <w:t>Materials:</w:t>
      </w:r>
    </w:p>
    <w:p w14:paraId="0000000D" w14:textId="77777777" w:rsidR="00351566" w:rsidRDefault="00000000">
      <w:pPr>
        <w:numPr>
          <w:ilvl w:val="0"/>
          <w:numId w:val="5"/>
        </w:numPr>
        <w:spacing w:before="240"/>
        <w:ind w:firstLine="360"/>
      </w:pPr>
      <w:r>
        <w:t>Cynuria Case Study Milestone 3</w:t>
      </w:r>
    </w:p>
    <w:p w14:paraId="0000000E" w14:textId="77777777" w:rsidR="00351566" w:rsidRDefault="00000000">
      <w:pPr>
        <w:numPr>
          <w:ilvl w:val="0"/>
          <w:numId w:val="5"/>
        </w:numPr>
        <w:ind w:firstLine="360"/>
      </w:pPr>
      <w:r>
        <w:t>SWOT Analysis Template</w:t>
      </w:r>
    </w:p>
    <w:p w14:paraId="0000000F" w14:textId="77777777" w:rsidR="00351566" w:rsidRDefault="00000000">
      <w:pPr>
        <w:numPr>
          <w:ilvl w:val="0"/>
          <w:numId w:val="5"/>
        </w:numPr>
        <w:spacing w:after="240"/>
        <w:ind w:firstLine="360"/>
      </w:pPr>
      <w:r>
        <w:t>GAO 12-Step Life Cycle Cost Estimate (LCCE) Visual (linked in case)</w:t>
      </w:r>
    </w:p>
    <w:p w14:paraId="00000010" w14:textId="77777777" w:rsidR="00351566" w:rsidRDefault="00000000">
      <w:pPr>
        <w:spacing w:before="240" w:after="240"/>
        <w:ind w:left="0"/>
        <w:rPr>
          <w:b/>
        </w:rPr>
      </w:pPr>
      <w:r>
        <w:rPr>
          <w:b/>
        </w:rPr>
        <w:t>Pre-Read for Participants:</w:t>
      </w:r>
    </w:p>
    <w:p w14:paraId="00000011" w14:textId="77777777" w:rsidR="00351566" w:rsidRDefault="00000000">
      <w:pPr>
        <w:numPr>
          <w:ilvl w:val="0"/>
          <w:numId w:val="3"/>
        </w:numPr>
        <w:spacing w:before="240" w:after="240"/>
        <w:ind w:firstLine="360"/>
      </w:pPr>
      <w:r>
        <w:t>Read Cynuria Case Study Milestone 3</w:t>
      </w:r>
      <w:r>
        <w:br/>
      </w:r>
    </w:p>
    <w:p w14:paraId="00000012" w14:textId="77777777" w:rsidR="00351566" w:rsidRDefault="00351566">
      <w:pPr>
        <w:spacing w:after="200"/>
      </w:pPr>
    </w:p>
    <w:p w14:paraId="00000013" w14:textId="77777777" w:rsidR="00351566" w:rsidRDefault="00000000">
      <w:pPr>
        <w:pStyle w:val="Heading3"/>
        <w:keepNext w:val="0"/>
        <w:keepLines w:val="0"/>
        <w:spacing w:before="280"/>
        <w:ind w:left="0"/>
        <w:rPr>
          <w:rFonts w:ascii="Proxima Nova" w:eastAsia="Proxima Nova" w:hAnsi="Proxima Nova" w:cs="Proxima Nova"/>
          <w:b/>
          <w:color w:val="000000"/>
          <w:sz w:val="26"/>
          <w:szCs w:val="26"/>
        </w:rPr>
      </w:pPr>
      <w:bookmarkStart w:id="1" w:name="_k20nbgyibsw7" w:colFirst="0" w:colLast="0"/>
      <w:bookmarkEnd w:id="1"/>
      <w:r>
        <w:rPr>
          <w:rFonts w:ascii="Proxima Nova" w:eastAsia="Proxima Nova" w:hAnsi="Proxima Nova" w:cs="Proxima Nova"/>
          <w:b/>
          <w:color w:val="000000"/>
          <w:sz w:val="26"/>
          <w:szCs w:val="26"/>
        </w:rPr>
        <w:t>III. Session Agenda &amp; Activities</w:t>
      </w:r>
    </w:p>
    <w:p w14:paraId="00000014" w14:textId="77777777" w:rsidR="00351566" w:rsidRDefault="00000000">
      <w:pPr>
        <w:spacing w:before="240" w:after="240"/>
        <w:ind w:left="0"/>
      </w:pPr>
      <w:r>
        <w:rPr>
          <w:b/>
        </w:rPr>
        <w:t>Activity:</w:t>
      </w:r>
      <w:r>
        <w:t xml:space="preserve"> Evaluating Data Security Solutions</w:t>
      </w:r>
      <w:r>
        <w:br/>
      </w:r>
      <w:r>
        <w:rPr>
          <w:b/>
        </w:rPr>
        <w:t>Time:</w:t>
      </w:r>
      <w:r>
        <w:t xml:space="preserve"> 60 minutes</w:t>
      </w:r>
      <w:r>
        <w:br/>
      </w:r>
      <w:r>
        <w:rPr>
          <w:b/>
        </w:rPr>
        <w:t>Purpose:</w:t>
      </w:r>
      <w:r>
        <w:t xml:space="preserve"> Evaluate security trade-offs using SWOT and life cycle cost analysis</w:t>
      </w:r>
    </w:p>
    <w:p w14:paraId="00000015" w14:textId="77777777" w:rsidR="00351566" w:rsidRDefault="00000000">
      <w:pPr>
        <w:spacing w:before="240" w:after="240"/>
        <w:ind w:left="0"/>
        <w:rPr>
          <w:b/>
        </w:rPr>
      </w:pPr>
      <w:r>
        <w:rPr>
          <w:b/>
        </w:rPr>
        <w:t>Instructions:</w:t>
      </w:r>
    </w:p>
    <w:p w14:paraId="00000016" w14:textId="77777777" w:rsidR="00351566" w:rsidRDefault="00000000">
      <w:pPr>
        <w:numPr>
          <w:ilvl w:val="0"/>
          <w:numId w:val="2"/>
        </w:numPr>
        <w:spacing w:before="240"/>
        <w:ind w:firstLine="360"/>
      </w:pPr>
      <w:r>
        <w:rPr>
          <w:b/>
        </w:rPr>
        <w:t>Frame the Task</w:t>
      </w:r>
      <w:r>
        <w:rPr>
          <w:b/>
        </w:rPr>
        <w:br/>
      </w:r>
      <w:r>
        <w:t xml:space="preserve"> Read or summarize the Milestone goal from the case:</w:t>
      </w:r>
      <w:r>
        <w:br/>
      </w:r>
      <w:r>
        <w:br/>
        <w:t>To complete this milestone, develop a life cycle cost estimate and conduct a SWOT analysis of each option provided to address the data security challenge. The goal is to determine the most effective solution that aligns with the agency's needs without compromising system performance.</w:t>
      </w:r>
      <w:r>
        <w:br/>
      </w:r>
    </w:p>
    <w:p w14:paraId="00000017" w14:textId="77777777" w:rsidR="00351566" w:rsidRDefault="00000000">
      <w:pPr>
        <w:numPr>
          <w:ilvl w:val="0"/>
          <w:numId w:val="2"/>
        </w:numPr>
        <w:ind w:firstLine="360"/>
      </w:pPr>
      <w:r>
        <w:rPr>
          <w:b/>
        </w:rPr>
        <w:t>Warm-Up Prompt</w:t>
      </w:r>
      <w:r>
        <w:rPr>
          <w:b/>
        </w:rPr>
        <w:br/>
      </w:r>
      <w:r>
        <w:t xml:space="preserve"> Ask: </w:t>
      </w:r>
      <w:r>
        <w:rPr>
          <w:i/>
        </w:rPr>
        <w:t>What do you already know about cost estimating in federal IT projects?</w:t>
      </w:r>
      <w:r>
        <w:rPr>
          <w:i/>
        </w:rPr>
        <w:br/>
      </w:r>
      <w:r>
        <w:t xml:space="preserve"> </w:t>
      </w:r>
      <w:r>
        <w:rPr>
          <w:i/>
        </w:rPr>
        <w:t>What makes data security especially tricky in digital acquisitions?</w:t>
      </w:r>
      <w:r>
        <w:rPr>
          <w:i/>
        </w:rPr>
        <w:br/>
      </w:r>
    </w:p>
    <w:p w14:paraId="00000018" w14:textId="77777777" w:rsidR="00351566" w:rsidRDefault="00000000">
      <w:pPr>
        <w:numPr>
          <w:ilvl w:val="0"/>
          <w:numId w:val="2"/>
        </w:numPr>
        <w:ind w:firstLine="360"/>
      </w:pPr>
      <w:r>
        <w:rPr>
          <w:b/>
        </w:rPr>
        <w:t>Small Group Work</w:t>
      </w:r>
      <w:r>
        <w:rPr>
          <w:b/>
        </w:rPr>
        <w:br/>
      </w:r>
      <w:r>
        <w:t xml:space="preserve"> In breakout groups, have learners:</w:t>
      </w:r>
      <w:r>
        <w:br/>
      </w:r>
    </w:p>
    <w:p w14:paraId="00000019" w14:textId="77777777" w:rsidR="00351566" w:rsidRDefault="00000000">
      <w:pPr>
        <w:numPr>
          <w:ilvl w:val="1"/>
          <w:numId w:val="2"/>
        </w:numPr>
      </w:pPr>
      <w:r>
        <w:t xml:space="preserve">Complete a </w:t>
      </w:r>
      <w:r>
        <w:rPr>
          <w:b/>
        </w:rPr>
        <w:t>SWOT analysis</w:t>
      </w:r>
      <w:r>
        <w:t xml:space="preserve"> of each option in the case</w:t>
      </w:r>
      <w:r>
        <w:br/>
      </w:r>
    </w:p>
    <w:p w14:paraId="0000001A" w14:textId="77777777" w:rsidR="00351566" w:rsidRDefault="00000000">
      <w:pPr>
        <w:numPr>
          <w:ilvl w:val="1"/>
          <w:numId w:val="2"/>
        </w:numPr>
      </w:pPr>
      <w:r>
        <w:t xml:space="preserve">Discuss key </w:t>
      </w:r>
      <w:r>
        <w:rPr>
          <w:b/>
        </w:rPr>
        <w:t>considerations from each SWOT quadrant</w:t>
      </w:r>
      <w:r>
        <w:t xml:space="preserve"> (e.g., technical, user, compliance)</w:t>
      </w:r>
      <w:r>
        <w:br/>
      </w:r>
    </w:p>
    <w:p w14:paraId="0000001B" w14:textId="77777777" w:rsidR="00351566" w:rsidRDefault="00000000">
      <w:pPr>
        <w:numPr>
          <w:ilvl w:val="1"/>
          <w:numId w:val="2"/>
        </w:numPr>
      </w:pPr>
      <w:r>
        <w:t xml:space="preserve">Use the </w:t>
      </w:r>
      <w:r>
        <w:rPr>
          <w:b/>
        </w:rPr>
        <w:t>GAO 12-step LCCE framework</w:t>
      </w:r>
      <w:r>
        <w:t xml:space="preserve"> as a guide to identify cost factors—no dollar estimates needed</w:t>
      </w:r>
      <w:r>
        <w:br/>
      </w:r>
    </w:p>
    <w:p w14:paraId="0000001C" w14:textId="77777777" w:rsidR="00351566" w:rsidRDefault="00000000">
      <w:pPr>
        <w:numPr>
          <w:ilvl w:val="1"/>
          <w:numId w:val="2"/>
        </w:numPr>
      </w:pPr>
      <w:r>
        <w:t xml:space="preserve">Consider cost </w:t>
      </w:r>
      <w:r>
        <w:rPr>
          <w:b/>
        </w:rPr>
        <w:t>drivers, assumptions, and risks</w:t>
      </w:r>
      <w:r>
        <w:t xml:space="preserve"> for each solution</w:t>
      </w:r>
      <w:r>
        <w:br/>
      </w:r>
    </w:p>
    <w:p w14:paraId="0000001D" w14:textId="77777777" w:rsidR="00351566" w:rsidRDefault="00000000">
      <w:pPr>
        <w:numPr>
          <w:ilvl w:val="0"/>
          <w:numId w:val="2"/>
        </w:numPr>
        <w:ind w:firstLine="360"/>
      </w:pPr>
      <w:r>
        <w:rPr>
          <w:b/>
        </w:rPr>
        <w:t>Share Outs x 2</w:t>
      </w:r>
    </w:p>
    <w:p w14:paraId="0000001E" w14:textId="77777777" w:rsidR="00351566" w:rsidRDefault="00000000">
      <w:pPr>
        <w:numPr>
          <w:ilvl w:val="1"/>
          <w:numId w:val="2"/>
        </w:numPr>
      </w:pPr>
      <w:r>
        <w:t>Invite one group to share with another who then shares out to the full group on their behalf:</w:t>
      </w:r>
    </w:p>
    <w:p w14:paraId="0000001F" w14:textId="77777777" w:rsidR="00351566" w:rsidRDefault="00000000">
      <w:pPr>
        <w:numPr>
          <w:ilvl w:val="2"/>
          <w:numId w:val="2"/>
        </w:numPr>
      </w:pPr>
      <w:r>
        <w:t>Their recommended solution</w:t>
      </w:r>
    </w:p>
    <w:p w14:paraId="00000020" w14:textId="77777777" w:rsidR="00351566" w:rsidRDefault="00000000">
      <w:pPr>
        <w:numPr>
          <w:ilvl w:val="2"/>
          <w:numId w:val="2"/>
        </w:numPr>
      </w:pPr>
      <w:r>
        <w:lastRenderedPageBreak/>
        <w:t>Key trade-offs (e.g., performance vs. risk, flexibility vs. compliance)</w:t>
      </w:r>
    </w:p>
    <w:p w14:paraId="00000021" w14:textId="77777777" w:rsidR="00351566" w:rsidRDefault="00000000">
      <w:pPr>
        <w:numPr>
          <w:ilvl w:val="2"/>
          <w:numId w:val="2"/>
        </w:numPr>
      </w:pPr>
      <w:r>
        <w:t>Cost insights that shaped their thinking</w:t>
      </w:r>
      <w:r>
        <w:br/>
      </w:r>
    </w:p>
    <w:p w14:paraId="00000022" w14:textId="77777777" w:rsidR="00351566" w:rsidRDefault="00000000">
      <w:pPr>
        <w:numPr>
          <w:ilvl w:val="0"/>
          <w:numId w:val="2"/>
        </w:numPr>
        <w:ind w:firstLine="360"/>
      </w:pPr>
      <w:r>
        <w:rPr>
          <w:b/>
        </w:rPr>
        <w:t xml:space="preserve">Synthesis &amp; Debrief </w:t>
      </w:r>
      <w:r>
        <w:t xml:space="preserve"> Discuss as a full group:</w:t>
      </w:r>
      <w:r>
        <w:br/>
      </w:r>
    </w:p>
    <w:p w14:paraId="00000023" w14:textId="77777777" w:rsidR="00351566" w:rsidRDefault="00000000">
      <w:pPr>
        <w:numPr>
          <w:ilvl w:val="1"/>
          <w:numId w:val="2"/>
        </w:numPr>
      </w:pPr>
      <w:r>
        <w:t>What assumptions did your team make when estimating costs?</w:t>
      </w:r>
    </w:p>
    <w:p w14:paraId="00000024" w14:textId="77777777" w:rsidR="00351566" w:rsidRDefault="00000000">
      <w:pPr>
        <w:numPr>
          <w:ilvl w:val="1"/>
          <w:numId w:val="2"/>
        </w:numPr>
      </w:pPr>
      <w:r>
        <w:t>How did the SWOT and LCCE tools influence your recommendation?</w:t>
      </w:r>
    </w:p>
    <w:p w14:paraId="00000025" w14:textId="77777777" w:rsidR="00351566" w:rsidRDefault="00000000">
      <w:pPr>
        <w:numPr>
          <w:ilvl w:val="1"/>
          <w:numId w:val="2"/>
        </w:numPr>
      </w:pPr>
      <w:r>
        <w:t>What would Casey’s team need to validate before moving forward?</w:t>
      </w:r>
    </w:p>
    <w:p w14:paraId="00000026" w14:textId="77777777" w:rsidR="00351566" w:rsidRDefault="00000000">
      <w:pPr>
        <w:numPr>
          <w:ilvl w:val="1"/>
          <w:numId w:val="2"/>
        </w:numPr>
        <w:spacing w:after="240"/>
      </w:pPr>
      <w:r>
        <w:t>How do these security decisions influence downstream performance or vendor selection?</w:t>
      </w:r>
      <w:r>
        <w:rPr>
          <w:i/>
        </w:rPr>
        <w:br/>
      </w:r>
    </w:p>
    <w:p w14:paraId="00000027" w14:textId="77777777" w:rsidR="00351566" w:rsidRDefault="00000000">
      <w:pPr>
        <w:spacing w:before="240" w:after="240"/>
        <w:ind w:left="0"/>
        <w:rPr>
          <w:b/>
        </w:rPr>
      </w:pPr>
      <w:r>
        <w:rPr>
          <w:b/>
        </w:rPr>
        <w:t>Expected Outcomes:</w:t>
      </w:r>
    </w:p>
    <w:p w14:paraId="00000028" w14:textId="77777777" w:rsidR="00351566" w:rsidRDefault="00000000">
      <w:pPr>
        <w:numPr>
          <w:ilvl w:val="0"/>
          <w:numId w:val="6"/>
        </w:numPr>
        <w:spacing w:before="240"/>
        <w:ind w:firstLine="360"/>
      </w:pPr>
      <w:r>
        <w:t>Completed SWOT templates for both options</w:t>
      </w:r>
    </w:p>
    <w:p w14:paraId="00000029" w14:textId="77777777" w:rsidR="00351566" w:rsidRDefault="00000000">
      <w:pPr>
        <w:numPr>
          <w:ilvl w:val="0"/>
          <w:numId w:val="6"/>
        </w:numPr>
        <w:ind w:firstLine="360"/>
      </w:pPr>
      <w:r>
        <w:t>High-level cost factors and rationale (not dollar estimates)</w:t>
      </w:r>
    </w:p>
    <w:p w14:paraId="0000002A" w14:textId="77777777" w:rsidR="00351566" w:rsidRDefault="00000000">
      <w:pPr>
        <w:numPr>
          <w:ilvl w:val="0"/>
          <w:numId w:val="6"/>
        </w:numPr>
        <w:spacing w:after="240"/>
        <w:ind w:firstLine="360"/>
      </w:pPr>
      <w:r>
        <w:t>Thoughtful solution recommendations aligned with agency context</w:t>
      </w:r>
      <w:r>
        <w:br/>
      </w:r>
    </w:p>
    <w:p w14:paraId="0000002B" w14:textId="77777777" w:rsidR="00351566" w:rsidRDefault="00000000">
      <w:pPr>
        <w:pStyle w:val="Heading3"/>
        <w:keepNext w:val="0"/>
        <w:keepLines w:val="0"/>
        <w:spacing w:before="280"/>
        <w:ind w:left="0"/>
      </w:pPr>
      <w:bookmarkStart w:id="2" w:name="_3lynaq2a1ply" w:colFirst="0" w:colLast="0"/>
      <w:bookmarkEnd w:id="2"/>
      <w:r>
        <w:rPr>
          <w:rFonts w:ascii="Proxima Nova" w:eastAsia="Proxima Nova" w:hAnsi="Proxima Nova" w:cs="Proxima Nova"/>
          <w:b/>
          <w:color w:val="000000"/>
          <w:sz w:val="26"/>
          <w:szCs w:val="26"/>
        </w:rPr>
        <w:t>IV. Next Steps / Follow-Up</w:t>
      </w:r>
    </w:p>
    <w:p w14:paraId="0000002C" w14:textId="77777777" w:rsidR="00351566" w:rsidRDefault="00000000">
      <w:pPr>
        <w:numPr>
          <w:ilvl w:val="0"/>
          <w:numId w:val="4"/>
        </w:numPr>
        <w:spacing w:before="240"/>
        <w:ind w:firstLine="360"/>
      </w:pPr>
      <w:r>
        <w:t>(Optional) Encourage learners to begin drafting a rough Statement of Objectives (SOO) for Casey’s acquisition</w:t>
      </w:r>
    </w:p>
    <w:p w14:paraId="0000002D" w14:textId="77777777" w:rsidR="00351566" w:rsidRDefault="00000000">
      <w:pPr>
        <w:numPr>
          <w:ilvl w:val="0"/>
          <w:numId w:val="4"/>
        </w:numPr>
        <w:spacing w:after="240"/>
        <w:ind w:firstLine="360"/>
      </w:pPr>
      <w:r>
        <w:t>Review Periodic Table of Acquisition Innovations for preparations on SOO development, acquisition strategies, evaluation criteria, and starting to think about setting up the contract and its award. (</w:t>
      </w:r>
      <w:hyperlink r:id="rId5">
        <w:r w:rsidR="00351566">
          <w:rPr>
            <w:color w:val="1155CC"/>
            <w:u w:val="single"/>
          </w:rPr>
          <w:t>https://acquisitiongateway.gov/periodic-table</w:t>
        </w:r>
      </w:hyperlink>
      <w:r>
        <w:t>)</w:t>
      </w:r>
      <w:r>
        <w:br/>
      </w:r>
    </w:p>
    <w:p w14:paraId="0000002E" w14:textId="77777777" w:rsidR="00351566" w:rsidRDefault="00351566">
      <w:pPr>
        <w:spacing w:after="200"/>
        <w:rPr>
          <w:b/>
        </w:rPr>
      </w:pPr>
    </w:p>
    <w:sectPr w:rsidR="0035156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Proxima Nova">
    <w:charset w:val="00"/>
    <w:family w:val="auto"/>
    <w:pitch w:val="default"/>
    <w:embedRegular r:id="rId1" w:fontKey="{9F2F15A2-3DCE-4C90-8FBC-F36009BDC815}"/>
    <w:embedBold r:id="rId2" w:fontKey="{F310B74D-1250-44B3-AC64-A6FDED11B7E8}"/>
    <w:embedItalic r:id="rId3" w:fontKey="{E399584C-513C-43B5-B66F-7AACD0BEA1C4}"/>
  </w:font>
  <w:font w:name="EB Garamond SemiBold">
    <w:charset w:val="00"/>
    <w:family w:val="auto"/>
    <w:pitch w:val="variable"/>
    <w:sig w:usb0="E00002FF" w:usb1="02000413" w:usb2="00000000" w:usb3="00000000" w:csb0="0000019F" w:csb1="00000000"/>
    <w:embedRegular r:id="rId4" w:fontKey="{EB07ACF2-1192-432B-B6A9-6120F972B547}"/>
  </w:font>
  <w:font w:name="EB Garamond">
    <w:charset w:val="00"/>
    <w:family w:val="auto"/>
    <w:pitch w:val="variable"/>
    <w:sig w:usb0="E00002FF" w:usb1="02000413" w:usb2="00000000" w:usb3="00000000" w:csb0="0000019F" w:csb1="00000000"/>
    <w:embedRegular r:id="rId5" w:fontKey="{282D0136-C02B-4BCC-AEE4-E4BEBDC87E33}"/>
    <w:embedBold r:id="rId6" w:fontKey="{934854D3-0AAD-4155-AEBE-5AEA8ED95E86}"/>
  </w:font>
  <w:font w:name="Calibri">
    <w:panose1 w:val="020F0502020204030204"/>
    <w:charset w:val="00"/>
    <w:family w:val="swiss"/>
    <w:pitch w:val="variable"/>
    <w:sig w:usb0="E4002EFF" w:usb1="C200247B" w:usb2="00000009" w:usb3="00000000" w:csb0="000001FF" w:csb1="00000000"/>
    <w:embedRegular r:id="rId7" w:fontKey="{62572723-4EAC-46E8-8EAE-C82631DA2A70}"/>
  </w:font>
  <w:font w:name="Cambria">
    <w:panose1 w:val="02040503050406030204"/>
    <w:charset w:val="00"/>
    <w:family w:val="roman"/>
    <w:pitch w:val="variable"/>
    <w:sig w:usb0="E00006FF" w:usb1="420024FF" w:usb2="02000000" w:usb3="00000000" w:csb0="0000019F" w:csb1="00000000"/>
    <w:embedRegular r:id="rId8" w:fontKey="{CCD7B21F-0017-437C-B3D5-C07264CB70D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645FE"/>
    <w:multiLevelType w:val="multilevel"/>
    <w:tmpl w:val="C4F47C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68F4774"/>
    <w:multiLevelType w:val="multilevel"/>
    <w:tmpl w:val="C78CF3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78641CA"/>
    <w:multiLevelType w:val="multilevel"/>
    <w:tmpl w:val="24088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74A3433"/>
    <w:multiLevelType w:val="multilevel"/>
    <w:tmpl w:val="925A3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57B7D12"/>
    <w:multiLevelType w:val="multilevel"/>
    <w:tmpl w:val="CA443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4E077C8"/>
    <w:multiLevelType w:val="multilevel"/>
    <w:tmpl w:val="0C380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12554017">
    <w:abstractNumId w:val="2"/>
  </w:num>
  <w:num w:numId="2" w16cid:durableId="1462721495">
    <w:abstractNumId w:val="1"/>
  </w:num>
  <w:num w:numId="3" w16cid:durableId="37705125">
    <w:abstractNumId w:val="4"/>
  </w:num>
  <w:num w:numId="4" w16cid:durableId="779571065">
    <w:abstractNumId w:val="3"/>
  </w:num>
  <w:num w:numId="5" w16cid:durableId="2109688360">
    <w:abstractNumId w:val="0"/>
  </w:num>
  <w:num w:numId="6" w16cid:durableId="16573715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566"/>
    <w:rsid w:val="000268FF"/>
    <w:rsid w:val="00351566"/>
    <w:rsid w:val="004E68F8"/>
    <w:rsid w:val="00BD093D"/>
    <w:rsid w:val="00FD46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477F883-6E9D-4509-8D64-E2F5416D7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roxima Nova" w:eastAsia="Proxima Nova" w:hAnsi="Proxima Nova" w:cs="Proxima Nova"/>
        <w:sz w:val="24"/>
        <w:szCs w:val="24"/>
        <w:lang w:val="en" w:eastAsia="en-US" w:bidi="ar-SA"/>
      </w:rPr>
    </w:rPrDefault>
    <w:pPrDefault>
      <w:pPr>
        <w:spacing w:line="276"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EB Garamond SemiBold" w:eastAsia="EB Garamond SemiBold" w:hAnsi="EB Garamond SemiBold" w:cs="EB Garamond SemiBold"/>
      <w:color w:val="434343"/>
      <w:sz w:val="40"/>
      <w:szCs w:val="40"/>
    </w:rPr>
  </w:style>
  <w:style w:type="paragraph" w:styleId="Heading2">
    <w:name w:val="heading 2"/>
    <w:basedOn w:val="Normal"/>
    <w:next w:val="Normal"/>
    <w:uiPriority w:val="9"/>
    <w:unhideWhenUsed/>
    <w:qFormat/>
    <w:pPr>
      <w:keepNext/>
      <w:keepLines/>
      <w:spacing w:before="360" w:after="120"/>
      <w:outlineLvl w:val="1"/>
    </w:pPr>
    <w:rPr>
      <w:rFonts w:ascii="EB Garamond SemiBold" w:eastAsia="EB Garamond SemiBold" w:hAnsi="EB Garamond SemiBold" w:cs="EB Garamond SemiBold"/>
      <w:color w:val="434343"/>
      <w:sz w:val="32"/>
      <w:szCs w:val="32"/>
    </w:rPr>
  </w:style>
  <w:style w:type="paragraph" w:styleId="Heading3">
    <w:name w:val="heading 3"/>
    <w:basedOn w:val="Normal"/>
    <w:next w:val="Normal"/>
    <w:uiPriority w:val="9"/>
    <w:unhideWhenUsed/>
    <w:qFormat/>
    <w:pPr>
      <w:keepNext/>
      <w:keepLines/>
      <w:spacing w:before="320" w:after="80"/>
      <w:outlineLvl w:val="2"/>
    </w:pPr>
    <w:rPr>
      <w:rFonts w:ascii="EB Garamond SemiBold" w:eastAsia="EB Garamond SemiBold" w:hAnsi="EB Garamond SemiBold" w:cs="EB Garamond SemiBold"/>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rFonts w:ascii="EB Garamond SemiBold" w:eastAsia="EB Garamond SemiBold" w:hAnsi="EB Garamond SemiBold" w:cs="EB Garamond SemiBold"/>
      <w:color w:val="434343"/>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jc w:val="center"/>
    </w:pPr>
    <w:rPr>
      <w:rFonts w:ascii="EB Garamond" w:eastAsia="EB Garamond" w:hAnsi="EB Garamond" w:cs="EB Garamond"/>
      <w:b/>
      <w:color w:val="434343"/>
      <w:sz w:val="52"/>
      <w:szCs w:val="52"/>
    </w:rPr>
  </w:style>
  <w:style w:type="paragraph" w:styleId="Subtitle">
    <w:name w:val="Subtitle"/>
    <w:basedOn w:val="Normal"/>
    <w:next w:val="Normal"/>
    <w:uiPriority w:val="11"/>
    <w:qFormat/>
    <w:pPr>
      <w:keepNext/>
      <w:keepLines/>
      <w:jc w:val="center"/>
    </w:pPr>
    <w:rPr>
      <w:rFonts w:ascii="EB Garamond" w:eastAsia="EB Garamond" w:hAnsi="EB Garamond" w:cs="EB Garamond"/>
      <w:b/>
      <w:color w:val="434343"/>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acquisitiongateway.gov/periodic-table"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520</Words>
  <Characters>2967</Characters>
  <Application>Microsoft Office Word</Application>
  <DocSecurity>0</DocSecurity>
  <Lines>24</Lines>
  <Paragraphs>6</Paragraphs>
  <ScaleCrop>false</ScaleCrop>
  <Company/>
  <LinksUpToDate>false</LinksUpToDate>
  <CharactersWithSpaces>3481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Joe Jernigan</cp:lastModifiedBy>
  <cp:revision>2</cp:revision>
  <dcterms:created xsi:type="dcterms:W3CDTF">2025-07-30T14:54:00Z</dcterms:created>
  <dcterms:modified xsi:type="dcterms:W3CDTF">2025-07-30T14:54:00Z</dcterms:modified>
</cp:coreProperties>
</file>