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38B19" w14:textId="77777777" w:rsidR="00811808" w:rsidRDefault="00000000">
      <w:pPr>
        <w:spacing w:before="240" w:after="240"/>
        <w:ind w:left="0"/>
        <w:rPr>
          <w:b/>
        </w:rPr>
      </w:pPr>
      <w:r>
        <w:rPr>
          <w:b/>
        </w:rPr>
        <w:t>DITAP In-Class Facilitator Guide</w:t>
      </w:r>
    </w:p>
    <w:p w14:paraId="0F6C421C" w14:textId="77777777" w:rsidR="00811808" w:rsidRDefault="00000000">
      <w:pPr>
        <w:spacing w:before="240" w:after="240"/>
        <w:ind w:left="0"/>
      </w:pPr>
      <w:r>
        <w:rPr>
          <w:b/>
        </w:rPr>
        <w:t>Module 3 Sprint 3</w:t>
      </w:r>
      <w:r>
        <w:rPr>
          <w:b/>
        </w:rPr>
        <w:br/>
        <w:t>Session Title:</w:t>
      </w:r>
      <w:r>
        <w:t xml:space="preserve"> Designing a Solicitation Strategy</w:t>
      </w:r>
      <w:r>
        <w:br/>
      </w:r>
      <w:r>
        <w:rPr>
          <w:b/>
        </w:rPr>
        <w:t>Date:</w:t>
      </w:r>
      <w:r>
        <w:t xml:space="preserve"> [Insert Date]</w:t>
      </w:r>
      <w:r>
        <w:br/>
      </w:r>
      <w:r>
        <w:rPr>
          <w:b/>
        </w:rPr>
        <w:t>Time:</w:t>
      </w:r>
      <w:r>
        <w:t xml:space="preserve"> [Insert Start and End Time]</w:t>
      </w:r>
      <w:r>
        <w:br/>
      </w:r>
      <w:r>
        <w:rPr>
          <w:b/>
        </w:rPr>
        <w:t>Location:</w:t>
      </w:r>
      <w:r>
        <w:t xml:space="preserve"> [Insert Location or Link]</w:t>
      </w:r>
      <w:r>
        <w:br/>
      </w:r>
      <w:r>
        <w:rPr>
          <w:b/>
        </w:rPr>
        <w:t>Target Audience:</w:t>
      </w:r>
      <w:r>
        <w:t xml:space="preserve"> Federal acquisition professionals enrolled in DITAP</w:t>
      </w:r>
      <w:r>
        <w:br/>
      </w:r>
      <w:r>
        <w:rPr>
          <w:b/>
        </w:rPr>
        <w:t>Facilitator(s):</w:t>
      </w:r>
      <w:r>
        <w:t xml:space="preserve"> [Insert Facilitator Name(s)]</w:t>
      </w:r>
    </w:p>
    <w:p w14:paraId="4730E1BF" w14:textId="77777777" w:rsidR="00811808" w:rsidRDefault="00000000">
      <w:pPr>
        <w:ind w:left="0"/>
      </w:pPr>
      <w:r>
        <w:pict w14:anchorId="089F0B7D">
          <v:rect id="_x0000_i1025" style="width:0;height:1.5pt" o:hralign="center" o:hrstd="t" o:hr="t" fillcolor="#a0a0a0" stroked="f"/>
        </w:pict>
      </w:r>
    </w:p>
    <w:p w14:paraId="3951315B" w14:textId="77777777" w:rsidR="00811808" w:rsidRDefault="00000000">
      <w:pPr>
        <w:pStyle w:val="Heading3"/>
        <w:keepNext w:val="0"/>
        <w:keepLines w:val="0"/>
        <w:spacing w:before="280"/>
        <w:ind w:left="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0" w:name="_digs8c81epq2" w:colFirst="0" w:colLast="0"/>
      <w:bookmarkEnd w:id="0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I. Overview &amp; Objectives</w:t>
      </w:r>
    </w:p>
    <w:p w14:paraId="7ADF4925" w14:textId="77777777" w:rsidR="00811808" w:rsidRDefault="00000000">
      <w:pPr>
        <w:spacing w:before="240" w:after="240"/>
        <w:ind w:left="0"/>
      </w:pPr>
      <w:r>
        <w:t xml:space="preserve">In this session, learners apply insights from solution evaluation to define acquisition strategies and draft components of a user-centered solicitation. This session is grounded in Milestone 3 of the </w:t>
      </w:r>
      <w:proofErr w:type="spellStart"/>
      <w:r>
        <w:t>Cynuria</w:t>
      </w:r>
      <w:proofErr w:type="spellEnd"/>
      <w:r>
        <w:t xml:space="preserve"> case study, which asks learners to write a Statement of Objectives (SOO), define evaluation criteria, and choose a corresponding evaluation method.</w:t>
      </w:r>
    </w:p>
    <w:p w14:paraId="63060F85" w14:textId="77777777" w:rsidR="00811808" w:rsidRDefault="00000000">
      <w:pPr>
        <w:spacing w:before="240" w:after="240"/>
        <w:ind w:left="0"/>
        <w:rPr>
          <w:b/>
        </w:rPr>
      </w:pPr>
      <w:r>
        <w:rPr>
          <w:b/>
        </w:rPr>
        <w:t>Learning Objectives:</w:t>
      </w:r>
    </w:p>
    <w:p w14:paraId="7A8E3D8D" w14:textId="77777777" w:rsidR="00811808" w:rsidRDefault="00000000">
      <w:pPr>
        <w:numPr>
          <w:ilvl w:val="0"/>
          <w:numId w:val="8"/>
        </w:numPr>
        <w:spacing w:before="240"/>
        <w:ind w:firstLine="360"/>
      </w:pPr>
      <w:r>
        <w:t>Draft a clear Statement of Objectives (SOO) based on discovery and solution analysis</w:t>
      </w:r>
    </w:p>
    <w:p w14:paraId="3DDC3B11" w14:textId="77777777" w:rsidR="00811808" w:rsidRDefault="00000000">
      <w:pPr>
        <w:numPr>
          <w:ilvl w:val="0"/>
          <w:numId w:val="8"/>
        </w:numPr>
        <w:ind w:firstLine="360"/>
      </w:pPr>
      <w:r>
        <w:t>Define evaluation factors that reflect key performance needs and constraints</w:t>
      </w:r>
    </w:p>
    <w:p w14:paraId="44D2C3EE" w14:textId="77777777" w:rsidR="00811808" w:rsidRDefault="00000000">
      <w:pPr>
        <w:numPr>
          <w:ilvl w:val="0"/>
          <w:numId w:val="8"/>
        </w:numPr>
        <w:spacing w:after="240"/>
        <w:ind w:firstLine="360"/>
      </w:pPr>
      <w:r>
        <w:t>Identify an evaluation method aligned to solution complexity and risks</w:t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11808" w14:paraId="51E771F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699C" w14:textId="77777777" w:rsidR="00811808" w:rsidRDefault="00000000">
            <w:pPr>
              <w:spacing w:before="240" w:after="240"/>
              <w:ind w:left="0"/>
            </w:pPr>
            <w:r>
              <w:rPr>
                <w:b/>
              </w:rPr>
              <w:t>Note:</w:t>
            </w:r>
            <w:r>
              <w:t xml:space="preserve"> This is an </w:t>
            </w:r>
            <w:r>
              <w:rPr>
                <w:b/>
              </w:rPr>
              <w:t>extension activity</w:t>
            </w:r>
            <w:r>
              <w:t xml:space="preserve"> designed to deepen application of the </w:t>
            </w:r>
            <w:proofErr w:type="spellStart"/>
            <w:r>
              <w:t>Cynuria</w:t>
            </w:r>
            <w:proofErr w:type="spellEnd"/>
            <w:r>
              <w:t xml:space="preserve"> case. It is </w:t>
            </w:r>
            <w:r>
              <w:rPr>
                <w:i/>
              </w:rPr>
              <w:t>not part of the original case study</w:t>
            </w:r>
            <w:r>
              <w:t xml:space="preserve"> but builds on previous milestones to help learners connect evaluation decisions to solicitation design.</w:t>
            </w:r>
          </w:p>
        </w:tc>
      </w:tr>
    </w:tbl>
    <w:p w14:paraId="370B1673" w14:textId="77777777" w:rsidR="00811808" w:rsidRDefault="00811808">
      <w:pPr>
        <w:ind w:left="0"/>
      </w:pPr>
    </w:p>
    <w:p w14:paraId="3F6902D5" w14:textId="77777777" w:rsidR="00811808" w:rsidRDefault="00000000">
      <w:pPr>
        <w:pStyle w:val="Heading3"/>
        <w:keepNext w:val="0"/>
        <w:keepLines w:val="0"/>
        <w:spacing w:before="280"/>
        <w:ind w:left="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" w:name="_w8fdda2hxt8o" w:colFirst="0" w:colLast="0"/>
      <w:bookmarkEnd w:id="1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II. Materials &amp; Preparation</w:t>
      </w:r>
    </w:p>
    <w:p w14:paraId="3A9E830A" w14:textId="77777777" w:rsidR="00811808" w:rsidRDefault="00000000">
      <w:pPr>
        <w:spacing w:before="240" w:after="240"/>
        <w:ind w:left="0"/>
        <w:rPr>
          <w:b/>
        </w:rPr>
      </w:pPr>
      <w:r>
        <w:rPr>
          <w:b/>
        </w:rPr>
        <w:t>Materials:</w:t>
      </w:r>
    </w:p>
    <w:p w14:paraId="6E15F26B" w14:textId="77777777" w:rsidR="00811808" w:rsidRDefault="00000000">
      <w:pPr>
        <w:numPr>
          <w:ilvl w:val="0"/>
          <w:numId w:val="7"/>
        </w:numPr>
        <w:spacing w:before="240"/>
        <w:ind w:firstLine="360"/>
      </w:pPr>
      <w:proofErr w:type="spellStart"/>
      <w:r>
        <w:t>Cynuria</w:t>
      </w:r>
      <w:proofErr w:type="spellEnd"/>
      <w:r>
        <w:t xml:space="preserve"> Case Study – Milestone 3 (Evaluation and Solicitation Strategy)</w:t>
      </w:r>
    </w:p>
    <w:p w14:paraId="5B01E044" w14:textId="77777777" w:rsidR="00811808" w:rsidRDefault="00000000">
      <w:pPr>
        <w:numPr>
          <w:ilvl w:val="0"/>
          <w:numId w:val="7"/>
        </w:numPr>
        <w:ind w:firstLine="360"/>
      </w:pPr>
      <w:r>
        <w:lastRenderedPageBreak/>
        <w:t>Optional</w:t>
      </w:r>
    </w:p>
    <w:p w14:paraId="72057208" w14:textId="77777777" w:rsidR="00811808" w:rsidRDefault="00000000">
      <w:pPr>
        <w:numPr>
          <w:ilvl w:val="0"/>
          <w:numId w:val="7"/>
        </w:numPr>
        <w:ind w:left="1440"/>
      </w:pPr>
      <w:r>
        <w:t xml:space="preserve">FAR 12 Commercial Item, </w:t>
      </w:r>
      <w:proofErr w:type="gramStart"/>
      <w:r>
        <w:t>Far</w:t>
      </w:r>
      <w:proofErr w:type="gramEnd"/>
      <w:r>
        <w:t xml:space="preserve"> 39 IT Acquisition</w:t>
      </w:r>
    </w:p>
    <w:p w14:paraId="55F49B3C" w14:textId="77777777" w:rsidR="00811808" w:rsidRDefault="00000000">
      <w:pPr>
        <w:numPr>
          <w:ilvl w:val="0"/>
          <w:numId w:val="7"/>
        </w:numPr>
        <w:ind w:left="1440"/>
      </w:pPr>
      <w:r>
        <w:t>FAR 8 &amp; 16 for task orders</w:t>
      </w:r>
    </w:p>
    <w:p w14:paraId="23F4303B" w14:textId="77777777" w:rsidR="00811808" w:rsidRDefault="00000000">
      <w:pPr>
        <w:numPr>
          <w:ilvl w:val="0"/>
          <w:numId w:val="4"/>
        </w:numPr>
        <w:ind w:left="1440"/>
      </w:pPr>
      <w:r>
        <w:t>Sample SOOs and evaluation plans</w:t>
      </w:r>
    </w:p>
    <w:p w14:paraId="69EAFC55" w14:textId="77777777" w:rsidR="00811808" w:rsidRDefault="00000000">
      <w:pPr>
        <w:numPr>
          <w:ilvl w:val="0"/>
          <w:numId w:val="4"/>
        </w:numPr>
        <w:spacing w:after="240"/>
        <w:ind w:left="1440"/>
      </w:pPr>
      <w:r>
        <w:t>Evaluation strategy comparison handouts</w:t>
      </w:r>
    </w:p>
    <w:p w14:paraId="76DF2BDB" w14:textId="77777777" w:rsidR="00811808" w:rsidRDefault="00000000">
      <w:pPr>
        <w:spacing w:before="240" w:after="240"/>
        <w:ind w:left="0"/>
        <w:rPr>
          <w:b/>
        </w:rPr>
      </w:pPr>
      <w:r>
        <w:rPr>
          <w:b/>
        </w:rPr>
        <w:t>Pre-Read for Participants:</w:t>
      </w:r>
    </w:p>
    <w:p w14:paraId="6AA26EBC" w14:textId="77777777" w:rsidR="00811808" w:rsidRDefault="00000000">
      <w:pPr>
        <w:numPr>
          <w:ilvl w:val="0"/>
          <w:numId w:val="6"/>
        </w:numPr>
        <w:spacing w:before="240" w:after="240"/>
        <w:ind w:firstLine="360"/>
      </w:pPr>
      <w:r>
        <w:t>Milestone 3: Evaluation and Solicitation Strategy</w:t>
      </w:r>
    </w:p>
    <w:p w14:paraId="747F1E00" w14:textId="77777777" w:rsidR="00811808" w:rsidRDefault="00000000">
      <w:pPr>
        <w:ind w:left="0"/>
      </w:pPr>
      <w:r>
        <w:pict w14:anchorId="588862F2">
          <v:rect id="_x0000_i1026" style="width:0;height:1.5pt" o:hralign="center" o:hrstd="t" o:hr="t" fillcolor="#a0a0a0" stroked="f"/>
        </w:pict>
      </w:r>
    </w:p>
    <w:p w14:paraId="4BAEE1EE" w14:textId="77777777" w:rsidR="00811808" w:rsidRDefault="00000000">
      <w:pPr>
        <w:pStyle w:val="Heading3"/>
        <w:keepNext w:val="0"/>
        <w:keepLines w:val="0"/>
        <w:spacing w:before="280"/>
        <w:ind w:left="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2" w:name="_p4u7fkd41hc2" w:colFirst="0" w:colLast="0"/>
      <w:bookmarkEnd w:id="2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III. Session Agenda &amp; Activities</w:t>
      </w:r>
    </w:p>
    <w:p w14:paraId="0F1E5216" w14:textId="77777777" w:rsidR="00811808" w:rsidRDefault="00000000">
      <w:pPr>
        <w:spacing w:before="240" w:after="240"/>
        <w:ind w:left="0"/>
      </w:pPr>
      <w:r>
        <w:rPr>
          <w:b/>
        </w:rPr>
        <w:t>Activity:</w:t>
      </w:r>
      <w:r>
        <w:t xml:space="preserve"> Designing a Solicitation Strategy</w:t>
      </w:r>
      <w:r>
        <w:br/>
      </w:r>
      <w:r>
        <w:rPr>
          <w:b/>
        </w:rPr>
        <w:t>Time:</w:t>
      </w:r>
      <w:r>
        <w:t xml:space="preserve"> 45 minutes</w:t>
      </w:r>
      <w:r>
        <w:br/>
      </w:r>
      <w:r>
        <w:rPr>
          <w:b/>
        </w:rPr>
        <w:t>Purpose:</w:t>
      </w:r>
      <w:r>
        <w:t xml:space="preserve"> Guide learners in crafting key solicitation components rooted in previous discovery and evaluation work.</w:t>
      </w:r>
    </w:p>
    <w:p w14:paraId="193FDBAE" w14:textId="77777777" w:rsidR="00811808" w:rsidRDefault="00000000">
      <w:pPr>
        <w:spacing w:before="240" w:after="240"/>
        <w:ind w:left="0"/>
        <w:rPr>
          <w:b/>
        </w:rPr>
      </w:pPr>
      <w:r>
        <w:rPr>
          <w:b/>
        </w:rPr>
        <w:t>Instructions:</w:t>
      </w:r>
    </w:p>
    <w:p w14:paraId="41DB52D7" w14:textId="77777777" w:rsidR="00811808" w:rsidRDefault="00000000">
      <w:pPr>
        <w:numPr>
          <w:ilvl w:val="0"/>
          <w:numId w:val="5"/>
        </w:numPr>
        <w:spacing w:before="240"/>
        <w:ind w:firstLine="360"/>
      </w:pPr>
      <w:r>
        <w:t>Begin with a short recap: What were the key trade-offs from the previous case study session? How do those inform your solicitation strategy?</w:t>
      </w:r>
    </w:p>
    <w:p w14:paraId="1605D787" w14:textId="77777777" w:rsidR="00811808" w:rsidRDefault="00000000">
      <w:pPr>
        <w:numPr>
          <w:ilvl w:val="0"/>
          <w:numId w:val="5"/>
        </w:numPr>
        <w:ind w:firstLine="360"/>
      </w:pPr>
      <w:r>
        <w:t>Prompt: “If your team has decided on a solution path, how do you ensure the solicitation invites the right responses from vendors?”</w:t>
      </w:r>
    </w:p>
    <w:p w14:paraId="792A0C37" w14:textId="77777777" w:rsidR="00811808" w:rsidRDefault="00000000">
      <w:pPr>
        <w:numPr>
          <w:ilvl w:val="0"/>
          <w:numId w:val="5"/>
        </w:numPr>
        <w:ind w:firstLine="360"/>
      </w:pPr>
      <w:r>
        <w:t>Introduce the deliverable:</w:t>
      </w:r>
    </w:p>
    <w:p w14:paraId="5D238055" w14:textId="77777777" w:rsidR="00811808" w:rsidRDefault="00000000">
      <w:pPr>
        <w:numPr>
          <w:ilvl w:val="1"/>
          <w:numId w:val="5"/>
        </w:numPr>
      </w:pPr>
      <w:r>
        <w:t>A short Statement of Objectives (SOO)</w:t>
      </w:r>
    </w:p>
    <w:p w14:paraId="35FF1B84" w14:textId="77777777" w:rsidR="00811808" w:rsidRDefault="00000000">
      <w:pPr>
        <w:numPr>
          <w:ilvl w:val="1"/>
          <w:numId w:val="5"/>
        </w:numPr>
      </w:pPr>
      <w:r>
        <w:t>A recommendation for evaluation criteria and method</w:t>
      </w:r>
    </w:p>
    <w:p w14:paraId="16CF5A3E" w14:textId="77777777" w:rsidR="00811808" w:rsidRDefault="00000000">
      <w:pPr>
        <w:numPr>
          <w:ilvl w:val="0"/>
          <w:numId w:val="5"/>
        </w:numPr>
        <w:ind w:firstLine="360"/>
      </w:pPr>
      <w:r>
        <w:t>In teams:</w:t>
      </w:r>
    </w:p>
    <w:p w14:paraId="2BC5B459" w14:textId="77777777" w:rsidR="00811808" w:rsidRDefault="00000000">
      <w:pPr>
        <w:numPr>
          <w:ilvl w:val="1"/>
          <w:numId w:val="5"/>
        </w:numPr>
      </w:pPr>
      <w:r>
        <w:t>Draft the SOO based on your chosen CRM strategy</w:t>
      </w:r>
    </w:p>
    <w:p w14:paraId="5AA47A2B" w14:textId="77777777" w:rsidR="00811808" w:rsidRDefault="00000000">
      <w:pPr>
        <w:numPr>
          <w:ilvl w:val="1"/>
          <w:numId w:val="5"/>
        </w:numPr>
      </w:pPr>
      <w:r>
        <w:t>Define 2–3 evaluation factors and describe what a strong response would look like</w:t>
      </w:r>
    </w:p>
    <w:p w14:paraId="72EFBA88" w14:textId="77777777" w:rsidR="00811808" w:rsidRDefault="00000000">
      <w:pPr>
        <w:numPr>
          <w:ilvl w:val="1"/>
          <w:numId w:val="5"/>
        </w:numPr>
      </w:pPr>
      <w:r>
        <w:t>Choose and justify an evaluation method (e.g., LPTA, trade-off)</w:t>
      </w:r>
    </w:p>
    <w:p w14:paraId="71D3D75C" w14:textId="77777777" w:rsidR="00811808" w:rsidRDefault="00000000">
      <w:pPr>
        <w:numPr>
          <w:ilvl w:val="0"/>
          <w:numId w:val="5"/>
        </w:numPr>
        <w:ind w:firstLine="360"/>
      </w:pPr>
      <w:r>
        <w:t>Encourage teams to root decisions in user needs, solution fit, and past case milestones</w:t>
      </w:r>
    </w:p>
    <w:p w14:paraId="66F9CA3F" w14:textId="77777777" w:rsidR="00811808" w:rsidRDefault="00000000">
      <w:pPr>
        <w:numPr>
          <w:ilvl w:val="0"/>
          <w:numId w:val="5"/>
        </w:numPr>
        <w:ind w:firstLine="360"/>
      </w:pPr>
      <w:r>
        <w:t>Quick share-out:</w:t>
      </w:r>
    </w:p>
    <w:p w14:paraId="17D0CD66" w14:textId="77777777" w:rsidR="00811808" w:rsidRDefault="00000000">
      <w:pPr>
        <w:numPr>
          <w:ilvl w:val="1"/>
          <w:numId w:val="5"/>
        </w:numPr>
      </w:pPr>
      <w:r>
        <w:t>Each team presents their SOO and evaluation logic</w:t>
      </w:r>
    </w:p>
    <w:p w14:paraId="406474DB" w14:textId="77777777" w:rsidR="00811808" w:rsidRDefault="00000000">
      <w:pPr>
        <w:numPr>
          <w:ilvl w:val="1"/>
          <w:numId w:val="5"/>
        </w:numPr>
        <w:spacing w:after="240"/>
      </w:pPr>
      <w:r>
        <w:t>Facilitator offers warm feedback or points of tension</w:t>
      </w:r>
    </w:p>
    <w:p w14:paraId="68E3D53D" w14:textId="77777777" w:rsidR="00811808" w:rsidRDefault="00000000">
      <w:pPr>
        <w:spacing w:before="240" w:after="240"/>
        <w:ind w:left="0"/>
        <w:rPr>
          <w:b/>
        </w:rPr>
      </w:pPr>
      <w:r>
        <w:rPr>
          <w:b/>
        </w:rPr>
        <w:t>Expected Outcomes:</w:t>
      </w:r>
    </w:p>
    <w:p w14:paraId="077883A5" w14:textId="77777777" w:rsidR="00811808" w:rsidRDefault="00000000">
      <w:pPr>
        <w:numPr>
          <w:ilvl w:val="0"/>
          <w:numId w:val="3"/>
        </w:numPr>
        <w:spacing w:before="240"/>
        <w:ind w:firstLine="360"/>
      </w:pPr>
      <w:r>
        <w:lastRenderedPageBreak/>
        <w:t>Draft SOOs with clear alignment to discovery and evaluation</w:t>
      </w:r>
    </w:p>
    <w:p w14:paraId="355EF56F" w14:textId="77777777" w:rsidR="00811808" w:rsidRDefault="00000000">
      <w:pPr>
        <w:numPr>
          <w:ilvl w:val="0"/>
          <w:numId w:val="3"/>
        </w:numPr>
        <w:ind w:firstLine="360"/>
      </w:pPr>
      <w:r>
        <w:t>Evaluation approaches that balance complexity, risk, and clarity</w:t>
      </w:r>
    </w:p>
    <w:p w14:paraId="16FA6869" w14:textId="77777777" w:rsidR="00811808" w:rsidRDefault="00000000">
      <w:pPr>
        <w:numPr>
          <w:ilvl w:val="0"/>
          <w:numId w:val="3"/>
        </w:numPr>
        <w:spacing w:after="240"/>
        <w:ind w:firstLine="360"/>
      </w:pPr>
      <w:r>
        <w:t xml:space="preserve">Justification for methods that reflect FAR </w:t>
      </w:r>
      <w:proofErr w:type="gramStart"/>
      <w:r>
        <w:t>flexibilities</w:t>
      </w:r>
      <w:proofErr w:type="gramEnd"/>
      <w:r>
        <w:t xml:space="preserve"> and digital service goals</w:t>
      </w:r>
    </w:p>
    <w:p w14:paraId="1F8449C1" w14:textId="77777777" w:rsidR="00811808" w:rsidRDefault="00000000">
      <w:pPr>
        <w:spacing w:before="240" w:after="240"/>
        <w:ind w:left="0"/>
        <w:rPr>
          <w:b/>
        </w:rPr>
      </w:pPr>
      <w:r>
        <w:rPr>
          <w:b/>
        </w:rPr>
        <w:t>Optional Extension Ideas:</w:t>
      </w:r>
    </w:p>
    <w:p w14:paraId="310E4123" w14:textId="77777777" w:rsidR="00811808" w:rsidRDefault="00000000">
      <w:pPr>
        <w:numPr>
          <w:ilvl w:val="0"/>
          <w:numId w:val="1"/>
        </w:numPr>
        <w:spacing w:before="240"/>
        <w:ind w:firstLine="360"/>
      </w:pPr>
      <w:r>
        <w:rPr>
          <w:b/>
        </w:rPr>
        <w:t>Peer Review Rotation:</w:t>
      </w:r>
      <w:r>
        <w:t xml:space="preserve"> Learners rotate to peer review SOOs and evaluation strategies using a feedback checklist</w:t>
      </w:r>
    </w:p>
    <w:p w14:paraId="0AE5B542" w14:textId="77777777" w:rsidR="00811808" w:rsidRDefault="00000000">
      <w:pPr>
        <w:numPr>
          <w:ilvl w:val="0"/>
          <w:numId w:val="1"/>
        </w:numPr>
        <w:spacing w:after="240"/>
        <w:ind w:firstLine="360"/>
      </w:pPr>
      <w:r>
        <w:rPr>
          <w:b/>
        </w:rPr>
        <w:t>Debrief the Decision:</w:t>
      </w:r>
      <w:r>
        <w:t xml:space="preserve"> Select teams defend their proposed strategy in a mock IPT setting with other learners asking questions and raising potential risks</w:t>
      </w:r>
    </w:p>
    <w:p w14:paraId="29675AC7" w14:textId="77777777" w:rsidR="00811808" w:rsidRDefault="00000000">
      <w:pPr>
        <w:spacing w:before="240" w:after="240"/>
        <w:ind w:left="0"/>
        <w:rPr>
          <w:b/>
        </w:rPr>
      </w:pPr>
      <w:r>
        <w:rPr>
          <w:b/>
          <w:sz w:val="26"/>
          <w:szCs w:val="26"/>
        </w:rPr>
        <w:t>IV. Next Steps</w:t>
      </w:r>
    </w:p>
    <w:p w14:paraId="7D1247CD" w14:textId="77777777" w:rsidR="00811808" w:rsidRDefault="00000000">
      <w:pPr>
        <w:numPr>
          <w:ilvl w:val="0"/>
          <w:numId w:val="2"/>
        </w:numPr>
        <w:spacing w:before="240"/>
        <w:ind w:firstLine="360"/>
      </w:pPr>
      <w:r>
        <w:t>Refine SOO and evaluation approach and prepare for Milestone 4</w:t>
      </w:r>
    </w:p>
    <w:p w14:paraId="41597690" w14:textId="77777777" w:rsidR="00811808" w:rsidRDefault="00000000">
      <w:pPr>
        <w:numPr>
          <w:ilvl w:val="0"/>
          <w:numId w:val="2"/>
        </w:numPr>
        <w:ind w:firstLine="360"/>
      </w:pPr>
      <w:r w:rsidRPr="00264A8D">
        <w:rPr>
          <w:b/>
        </w:rPr>
        <w:t>Acquisition Strategy Development</w:t>
      </w:r>
    </w:p>
    <w:p w14:paraId="20264C27" w14:textId="77777777" w:rsidR="00811808" w:rsidRDefault="00000000">
      <w:pPr>
        <w:numPr>
          <w:ilvl w:val="1"/>
          <w:numId w:val="2"/>
        </w:numPr>
      </w:pPr>
      <w:r w:rsidRPr="00264A8D">
        <w:rPr>
          <w:b/>
        </w:rPr>
        <w:t>Performance-Based Contracting</w:t>
      </w:r>
      <w:r>
        <w:t>: Focus on delivery outcomes and mission effectiveness rather than compliance</w:t>
      </w:r>
    </w:p>
    <w:p w14:paraId="784445D6" w14:textId="77777777" w:rsidR="00811808" w:rsidRDefault="00000000" w:rsidP="00264A8D">
      <w:pPr>
        <w:numPr>
          <w:ilvl w:val="1"/>
          <w:numId w:val="2"/>
        </w:numPr>
        <w:spacing w:after="240"/>
      </w:pPr>
      <w:r>
        <w:t>Modular Contracting</w:t>
      </w:r>
    </w:p>
    <w:p w14:paraId="6E38227E" w14:textId="77777777" w:rsidR="00811808" w:rsidRDefault="00811808">
      <w:pPr>
        <w:spacing w:before="240" w:after="240"/>
      </w:pPr>
    </w:p>
    <w:p w14:paraId="7A90306F" w14:textId="77777777" w:rsidR="00811808" w:rsidRDefault="00811808">
      <w:pPr>
        <w:ind w:left="0"/>
      </w:pPr>
    </w:p>
    <w:sectPr w:rsidR="0081180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78F2D8E9-5494-4609-810B-CE8F3BFF1366}"/>
    <w:embedBold r:id="rId2" w:fontKey="{2F783E6A-F989-4721-9EF0-08CAD448506B}"/>
    <w:embedItalic r:id="rId3" w:fontKey="{8898C1D6-C29D-4D01-B5F9-A28DE6F1EC10}"/>
  </w:font>
  <w:font w:name="EB Garamond SemiBold">
    <w:charset w:val="00"/>
    <w:family w:val="auto"/>
    <w:pitch w:val="variable"/>
    <w:sig w:usb0="E00002FF" w:usb1="02000413" w:usb2="00000000" w:usb3="00000000" w:csb0="0000019F" w:csb1="00000000"/>
    <w:embedRegular r:id="rId4" w:fontKey="{567FA0EA-32E0-45DC-8DB5-042145448CC3}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5" w:fontKey="{8A55B8A4-3CC8-4011-9B07-61042B730436}"/>
    <w:embedBold r:id="rId6" w:fontKey="{5F9A8815-9DA7-4716-BADA-BAEBD2DC48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A01EFF9-C6AE-458F-9F0C-62D5DCA1C1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6008517-C807-4CCF-9176-CBC80C76BB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58FD"/>
    <w:multiLevelType w:val="multilevel"/>
    <w:tmpl w:val="5F84A0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F3D5A"/>
    <w:multiLevelType w:val="multilevel"/>
    <w:tmpl w:val="C5CCC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7B1CD3"/>
    <w:multiLevelType w:val="multilevel"/>
    <w:tmpl w:val="73D41C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FF71B6"/>
    <w:multiLevelType w:val="multilevel"/>
    <w:tmpl w:val="485C7A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AD65D0"/>
    <w:multiLevelType w:val="multilevel"/>
    <w:tmpl w:val="56D6C8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4D11F6"/>
    <w:multiLevelType w:val="multilevel"/>
    <w:tmpl w:val="899A4B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7419BC"/>
    <w:multiLevelType w:val="multilevel"/>
    <w:tmpl w:val="C88645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116A18"/>
    <w:multiLevelType w:val="multilevel"/>
    <w:tmpl w:val="DD42E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1412694">
    <w:abstractNumId w:val="2"/>
  </w:num>
  <w:num w:numId="2" w16cid:durableId="186602886">
    <w:abstractNumId w:val="1"/>
  </w:num>
  <w:num w:numId="3" w16cid:durableId="1836651789">
    <w:abstractNumId w:val="3"/>
  </w:num>
  <w:num w:numId="4" w16cid:durableId="282469021">
    <w:abstractNumId w:val="6"/>
  </w:num>
  <w:num w:numId="5" w16cid:durableId="2027557889">
    <w:abstractNumId w:val="5"/>
  </w:num>
  <w:num w:numId="6" w16cid:durableId="1134103454">
    <w:abstractNumId w:val="4"/>
  </w:num>
  <w:num w:numId="7" w16cid:durableId="964967449">
    <w:abstractNumId w:val="7"/>
  </w:num>
  <w:num w:numId="8" w16cid:durableId="1028019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808"/>
    <w:rsid w:val="00264A8D"/>
    <w:rsid w:val="007B42F3"/>
    <w:rsid w:val="00811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8995F"/>
  <w15:docId w15:val="{B65AC705-4E1E-4049-9E2C-E2042C86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4"/>
        <w:szCs w:val="24"/>
        <w:lang w:val="en" w:eastAsia="en-US" w:bidi="ar-SA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EB Garamond SemiBold" w:eastAsia="EB Garamond SemiBold" w:hAnsi="EB Garamond SemiBold" w:cs="EB Garamond SemiBold"/>
      <w:color w:val="434343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EB Garamond SemiBold" w:eastAsia="EB Garamond SemiBold" w:hAnsi="EB Garamond SemiBold" w:cs="EB Garamond SemiBold"/>
      <w:color w:val="434343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rFonts w:ascii="EB Garamond SemiBold" w:eastAsia="EB Garamond SemiBold" w:hAnsi="EB Garamond SemiBold" w:cs="EB Garamond SemiBold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EB Garamond SemiBold" w:eastAsia="EB Garamond SemiBold" w:hAnsi="EB Garamond SemiBold" w:cs="EB Garamond SemiBold"/>
      <w:color w:val="434343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rFonts w:ascii="EB Garamond" w:eastAsia="EB Garamond" w:hAnsi="EB Garamond" w:cs="EB Garamond"/>
      <w:b/>
      <w:color w:val="434343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EB Garamond" w:eastAsia="EB Garamond" w:hAnsi="EB Garamond" w:cs="EB Garamond"/>
      <w:b/>
      <w:color w:val="434343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493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 Jernigan</cp:lastModifiedBy>
  <cp:revision>2</cp:revision>
  <dcterms:created xsi:type="dcterms:W3CDTF">2025-07-30T14:53:00Z</dcterms:created>
  <dcterms:modified xsi:type="dcterms:W3CDTF">2025-07-30T14:54:00Z</dcterms:modified>
</cp:coreProperties>
</file>