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(WIOA; PL 113-128),</w:t>
      </w:r>
      <w:r>
        <w:t xml:space="preserve"> </w:t>
      </w:r>
      <w:r>
        <w:t xml:space="preserve">Section 242, OCTAE carries out a program of national leadership activities to</w:t>
      </w:r>
      <w:r>
        <w:t xml:space="preserve"> </w:t>
      </w:r>
      <w:r>
        <w:t xml:space="preserve">enhance the quality and outcomes of adult education and literacy activities and</w:t>
      </w:r>
      <w:r>
        <w:t xml:space="preserve"> </w:t>
      </w:r>
      <w:r>
        <w:t xml:space="preserve">programs nationwide. OCTAE uses these funds to provide technical assistance and</w:t>
      </w:r>
      <w:r>
        <w:t xml:space="preserve"> </w:t>
      </w:r>
      <w:r>
        <w:t xml:space="preserve">professional development to programs and contribute to research and evaluations of</w:t>
      </w:r>
      <w:r>
        <w:t xml:space="preserve"> </w:t>
      </w:r>
      <w:r>
        <w:t xml:space="preserve">adult education programs and activities.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PII other than that covered by the</w:t>
      </w:r>
      <w:r>
        <w:t xml:space="preserve"> </w:t>
      </w:r>
      <w:r>
        <w:t xml:space="preserve">“</w:t>
      </w:r>
      <w:r>
        <w:t xml:space="preserve">Roladex exception</w:t>
      </w:r>
      <w:r>
        <w:t xml:space="preserve">”</w:t>
      </w:r>
      <w:r>
        <w:t xml:space="preserve">.</w:t>
      </w:r>
      <w:r>
        <w:t xml:space="preserve"> </w:t>
      </w:r>
      <w:r>
        <w:t xml:space="preserve">Anonymous access is possible, but courses and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as part of coursework or</w:t>
      </w:r>
      <w:r>
        <w:t xml:space="preserve"> </w:t>
      </w:r>
      <w:r>
        <w:t xml:space="preserve">to enhance community participation in forums.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2019-07-09T18:53:10Z</dcterms:created>
  <dcterms:modified xsi:type="dcterms:W3CDTF">2019-07-09T18:53:10Z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