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wareness-and-training"/>
      <w:r>
        <w:t xml:space="preserve">AWARENESS AND TRAINING</w:t>
      </w:r>
      <w:bookmarkEnd w:id="20"/>
    </w:p>
    <w:p>
      <w:pPr>
        <w:pStyle w:val="Heading2"/>
      </w:pPr>
      <w:bookmarkStart w:id="21" w:name="at-01-security-awareness-and-training-policy-and-procedures"/>
      <w:r>
        <w:t xml:space="preserve">AT-01 SECURITY AWARENESS AND TRAINING POLICY AND PROCEDURES</w:t>
      </w:r>
      <w:bookmarkEnd w:id="21"/>
    </w:p>
    <w:p>
      <w:pPr>
        <w:pStyle w:val="BlockText"/>
      </w:pPr>
      <w:r>
        <w:t xml:space="preserve">Control description:</w:t>
      </w:r>
      <w:r>
        <w:t xml:space="preserve"> </w:t>
      </w:r>
      <w:hyperlink r:id="rId22">
        <w:r>
          <w:rPr>
            <w:rStyle w:val="Hyperlink"/>
          </w:rPr>
          <w:t xml:space="preserve">http://800-53.govready.com/control?id=AT-1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at-02-security-awareness-training"/>
      <w:r>
        <w:t xml:space="preserve">AT-02 SECURITY AWARENESS TRAINING</w:t>
      </w:r>
      <w:bookmarkEnd w:id="27"/>
    </w:p>
    <w:p>
      <w:pPr>
        <w:pStyle w:val="BlockText"/>
      </w:pPr>
      <w:r>
        <w:t xml:space="preserve">Control description:</w:t>
      </w:r>
      <w:r>
        <w:t xml:space="preserve"> </w:t>
      </w:r>
      <w:hyperlink r:id="rId28">
        <w:r>
          <w:rPr>
            <w:rStyle w:val="Hyperlink"/>
          </w:rPr>
          <w:t xml:space="preserve">http://800-53.govready.com/control?id=AT-2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p>
    <w:p>
      <w:pPr>
        <w:pStyle w:val="BodyText"/>
      </w:pP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numPr>
          <w:numId w:val="1001"/>
          <w:ilvl w:val="0"/>
        </w:numPr>
      </w:pPr>
      <w:r>
        <w:t xml:space="preserve">Password protection</w:t>
      </w:r>
    </w:p>
    <w:p>
      <w:pPr>
        <w:numPr>
          <w:numId w:val="1001"/>
          <w:ilvl w:val="0"/>
        </w:numPr>
      </w:pPr>
      <w:r>
        <w:t xml:space="preserve">System rules of behavior</w:t>
      </w:r>
    </w:p>
    <w:p>
      <w:pPr>
        <w:numPr>
          <w:numId w:val="1001"/>
          <w:ilvl w:val="0"/>
        </w:numPr>
      </w:pPr>
      <w:r>
        <w:t xml:space="preserve">Protection of hardware, software, and data</w:t>
      </w:r>
    </w:p>
    <w:p>
      <w:pPr>
        <w:numPr>
          <w:numId w:val="1001"/>
          <w:ilvl w:val="0"/>
        </w:numPr>
      </w:pPr>
      <w:r>
        <w:t xml:space="preserve">Proper handling of copyrighted materials</w:t>
      </w:r>
    </w:p>
    <w:p>
      <w:pPr>
        <w:numPr>
          <w:numId w:val="1001"/>
          <w:ilvl w:val="0"/>
        </w:numPr>
      </w:pPr>
      <w:r>
        <w:t xml:space="preserve">Reporting of security breaches and violations</w:t>
      </w:r>
    </w:p>
    <w:p>
      <w:pPr>
        <w:numPr>
          <w:numId w:val="1001"/>
          <w:ilvl w:val="0"/>
        </w:numPr>
      </w:pPr>
      <w:r>
        <w:t xml:space="preserve">Proper procedures for software installation, uploading, and use on workstations.</w:t>
      </w:r>
    </w:p>
    <w:p>
      <w:pPr>
        <w:pStyle w:val="FirstParagraph"/>
      </w:pPr>
      <w:r>
        <w:t xml:space="preserve">The security and awareness training is consistent with Department of Education IT Security Training Program Plan and the guidance in NIST Special Publication 800-50.</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Service Provider dated 1 May 2013.</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p>
    <w:p>
      <w:pPr>
        <w:pStyle w:val="BodyText"/>
      </w:pP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provides annual security awareness training to its personnel.</w:t>
      </w:r>
    </w:p>
    <w:p>
      <w:pPr>
        <w:pStyle w:val="Heading2"/>
      </w:pPr>
      <w:bookmarkStart w:id="37" w:name="at-03-role-based-security-training"/>
      <w:r>
        <w:t xml:space="preserve">AT-03 ROLE-BASED SECURITY TRAINING</w:t>
      </w:r>
      <w:bookmarkEnd w:id="37"/>
    </w:p>
    <w:p>
      <w:pPr>
        <w:pStyle w:val="BlockText"/>
      </w:pPr>
      <w:r>
        <w:t xml:space="preserve">Control description:</w:t>
      </w:r>
      <w:r>
        <w:t xml:space="preserve"> </w:t>
      </w:r>
      <w:hyperlink r:id="rId38">
        <w:r>
          <w:rPr>
            <w:rStyle w:val="Hyperlink"/>
          </w:rPr>
          <w:t xml:space="preserve">http://800-53.govready.com/control?id=AT-3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Service Provider dated 1 May 2013.</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2"/>
      </w:pPr>
      <w:bookmarkStart w:id="47" w:name="at-04-security-training-records"/>
      <w:r>
        <w:t xml:space="preserve">AT-04 SECURITY TRAINING RECORDS</w:t>
      </w:r>
      <w:bookmarkEnd w:id="47"/>
    </w:p>
    <w:p>
      <w:pPr>
        <w:pStyle w:val="BlockText"/>
      </w:pPr>
      <w:r>
        <w:t xml:space="preserve">Control description:</w:t>
      </w:r>
      <w:r>
        <w:t xml:space="preserve"> </w:t>
      </w:r>
      <w:hyperlink r:id="rId48">
        <w:r>
          <w:rPr>
            <w:rStyle w:val="Hyperlink"/>
          </w:rPr>
          <w:t xml:space="preserve">http://800-53.govready.com/control?id=AT-4</w:t>
        </w:r>
      </w:hyperlink>
    </w:p>
    <w:p>
      <w:pPr>
        <w:pStyle w:val="BlockText"/>
      </w:pPr>
      <w:r>
        <w:t xml:space="preserve">Security control type: Hybrid</w:t>
      </w:r>
    </w:p>
    <w:p>
      <w:pPr>
        <w:pStyle w:val="Heading3"/>
      </w:pPr>
      <w:bookmarkStart w:id="49" w:name="part-a-2"/>
      <w:r>
        <w:t xml:space="preserve">Part a)</w:t>
      </w:r>
      <w:bookmarkEnd w:id="49"/>
    </w:p>
    <w:p>
      <w:pPr>
        <w:pStyle w:val="Heading4"/>
      </w:pPr>
      <w:bookmarkStart w:id="50" w:name="lincs-specific-control-or-lincs-responsibility-3"/>
      <w:r>
        <w:t xml:space="preserve">LINCS specific control or LINCS Responsibility</w:t>
      </w:r>
      <w:bookmarkEnd w:id="50"/>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1" w:name="civicactions-responsibility-7"/>
      <w:r>
        <w:t xml:space="preserve">CivicActions Responsibility</w:t>
      </w:r>
      <w:bookmarkEnd w:id="51"/>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3"/>
      </w:pPr>
      <w:bookmarkStart w:id="52" w:name="part-b-2"/>
      <w:r>
        <w:t xml:space="preserve">Part b)</w:t>
      </w:r>
      <w:bookmarkEnd w:id="52"/>
    </w:p>
    <w:p>
      <w:pPr>
        <w:pStyle w:val="Heading4"/>
      </w:pPr>
      <w:bookmarkStart w:id="53" w:name="lincs-specific-control-or-lincs-responsibility-4"/>
      <w:r>
        <w:t xml:space="preserve">LINCS specific control or LINCS Responsibility</w:t>
      </w:r>
      <w:bookmarkEnd w:id="53"/>
    </w:p>
    <w:p>
      <w:pPr>
        <w:pStyle w:val="FirstParagraph"/>
      </w:pPr>
      <w:r>
        <w:t xml:space="preserve">The Office of Information Secuity maintains training certifications for the specified period.</w:t>
      </w:r>
    </w:p>
    <w:p>
      <w:pPr>
        <w:pStyle w:val="Heading4"/>
      </w:pPr>
      <w:bookmarkStart w:id="54" w:name="civicactions-responsibility-8"/>
      <w:r>
        <w:t xml:space="preserve">CivicActions Responsibility</w:t>
      </w:r>
      <w:bookmarkEnd w:id="54"/>
    </w:p>
    <w:p>
      <w:pPr>
        <w:pStyle w:val="FirstParagraph"/>
      </w:pPr>
      <w:r>
        <w:t xml:space="preserve">Training records are tracked and maintained by the CivicActions Information Security Office. Records are maintained permanently.</w:t>
      </w:r>
    </w:p>
    <w:p>
      <w:pPr>
        <w:pStyle w:val="Heading4"/>
      </w:pPr>
      <w:bookmarkStart w:id="55" w:name="amazon-web-services-aws-us-eastwest-control-support-3"/>
      <w:r>
        <w:t xml:space="preserve">Amazon Web Services (AWS) US-East/West control support</w:t>
      </w:r>
      <w:bookmarkEnd w:id="55"/>
    </w:p>
    <w:p>
      <w:pPr>
        <w:pStyle w:val="FirstParagraph"/>
      </w:pPr>
      <w:r>
        <w:t xml:space="preserve">The system partially inherits this control from the FedRAMP Provisional ATO granted to the AWS Cloud Service Provider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2018-11-06T20:49:34Z</dcterms:created>
  <dcterms:modified xsi:type="dcterms:W3CDTF">2018-11-06T20:49:34Z</dcterms:modified>
</cp:coreProperties>
</file>