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urity-assessment-and-authorization"/>
      <w:r>
        <w:t xml:space="preserve">SECURITY ASSESSMENT AND AUTHORIZATION</w:t>
      </w:r>
      <w:bookmarkEnd w:id="20"/>
    </w:p>
    <w:p>
      <w:pPr>
        <w:pStyle w:val="Heading2"/>
      </w:pPr>
      <w:bookmarkStart w:id="21" w:name="ca-01-security-assessment-and-authorization-policies-and-procedures"/>
      <w:r>
        <w:t xml:space="preserve">CA-01 SECURITY ASSESSMENT AND AUTHORIZATION POLICIES AND PROCEDURES</w:t>
      </w:r>
      <w:bookmarkEnd w:id="21"/>
    </w:p>
    <w:p>
      <w:pPr>
        <w:pStyle w:val="BlockText"/>
      </w:pPr>
      <w:r>
        <w:t xml:space="preserve">Control description:</w:t>
      </w:r>
      <w:r>
        <w:t xml:space="preserve"> </w:t>
      </w:r>
      <w:hyperlink r:id="rId22">
        <w:r>
          <w:rPr>
            <w:rStyle w:val="Hyperlink"/>
          </w:rPr>
          <w:t xml:space="preserve">http://800-53.govready.com/control?id=CA-1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p>
    <w:p>
      <w:pPr>
        <w:pStyle w:val="BodyText"/>
      </w:pPr>
      <w:r>
        <w:t xml:space="preserve">The Department will periodically review and update the SSP when there is a significant change to the regulatory, operational, or technical environment.</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a-02-security-assessments"/>
      <w:r>
        <w:t xml:space="preserve">CA-02 SECURITY ASSESSMENTS</w:t>
      </w:r>
      <w:bookmarkEnd w:id="27"/>
    </w:p>
    <w:p>
      <w:pPr>
        <w:pStyle w:val="BlockText"/>
      </w:pPr>
      <w:r>
        <w:t xml:space="preserve">Control description:</w:t>
      </w:r>
      <w:r>
        <w:t xml:space="preserve"> </w:t>
      </w:r>
      <w:hyperlink r:id="rId28">
        <w:r>
          <w:rPr>
            <w:rStyle w:val="Hyperlink"/>
          </w:rPr>
          <w:t xml:space="preserve">http://800-53.govready.com/control?id=CA-2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p>
    <w:p>
      <w:pPr>
        <w:numPr>
          <w:numId w:val="1001"/>
          <w:ilvl w:val="0"/>
        </w:numPr>
      </w:pPr>
      <w:r>
        <w:t xml:space="preserve">Security controls and control enhancements under assessment</w:t>
      </w:r>
    </w:p>
    <w:p>
      <w:pPr>
        <w:numPr>
          <w:numId w:val="1001"/>
          <w:ilvl w:val="0"/>
        </w:numPr>
      </w:pPr>
      <w:r>
        <w:t xml:space="preserve">Assessment procedures to be used to determine security control effectiveness</w:t>
      </w:r>
    </w:p>
    <w:p>
      <w:pPr>
        <w:numPr>
          <w:numId w:val="1001"/>
          <w:ilvl w:val="0"/>
        </w:numPr>
      </w:pPr>
      <w:r>
        <w:t xml:space="preserve">Assessment environment, assessment team, and assessment roles and responsibilities</w:t>
      </w:r>
    </w:p>
    <w:p>
      <w:pPr>
        <w:pStyle w:val="Heading4"/>
      </w:pPr>
      <w:bookmarkStart w:id="31" w:name="civicactions-responsibility-1"/>
      <w:r>
        <w:t xml:space="preserve">CivicActions Responsibility</w:t>
      </w:r>
      <w:bookmarkEnd w:id="31"/>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3"/>
      </w:pPr>
      <w:bookmarkStart w:id="34" w:name="part-c"/>
      <w:r>
        <w:t xml:space="preserve">Part c)</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6" w:name="civicactions-responsibility-3"/>
      <w:r>
        <w:t xml:space="preserve">CivicActions Responsibility</w:t>
      </w:r>
      <w:bookmarkEnd w:id="36"/>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numPr>
          <w:numId w:val="1002"/>
          <w:ilvl w:val="0"/>
        </w:numPr>
      </w:pPr>
      <w:r>
        <w:t xml:space="preserve">Security Control Matrix</w:t>
      </w:r>
    </w:p>
    <w:p>
      <w:pPr>
        <w:numPr>
          <w:numId w:val="1002"/>
          <w:ilvl w:val="0"/>
        </w:numPr>
      </w:pPr>
      <w:r>
        <w:t xml:space="preserve">Privacy Impact Assessment</w:t>
      </w:r>
    </w:p>
    <w:p>
      <w:pPr>
        <w:numPr>
          <w:numId w:val="1002"/>
          <w:ilvl w:val="0"/>
        </w:numPr>
      </w:pPr>
      <w:r>
        <w:t xml:space="preserve">E-Authentication</w:t>
      </w:r>
    </w:p>
    <w:p>
      <w:pPr>
        <w:numPr>
          <w:numId w:val="1002"/>
          <w:ilvl w:val="0"/>
        </w:numPr>
      </w:pPr>
      <w:r>
        <w:t xml:space="preserve">Contingency Plan</w:t>
      </w:r>
    </w:p>
    <w:p>
      <w:pPr>
        <w:numPr>
          <w:numId w:val="1002"/>
          <w:ilvl w:val="0"/>
        </w:numPr>
      </w:pPr>
      <w:r>
        <w:t xml:space="preserve">Configuration Management Plan</w:t>
      </w:r>
    </w:p>
    <w:p>
      <w:pPr>
        <w:numPr>
          <w:numId w:val="1002"/>
          <w:ilvl w:val="0"/>
        </w:numPr>
      </w:pPr>
      <w:r>
        <w:t xml:space="preserve">Rules of Behavior</w:t>
      </w:r>
    </w:p>
    <w:p>
      <w:pPr>
        <w:numPr>
          <w:numId w:val="1002"/>
          <w:ilvl w:val="0"/>
        </w:numPr>
      </w:pPr>
      <w:r>
        <w:t xml:space="preserve">Incident Response Plan</w:t>
      </w:r>
    </w:p>
    <w:p>
      <w:pPr>
        <w:pStyle w:val="Heading2"/>
      </w:pPr>
      <w:bookmarkStart w:id="39" w:name="ca-03-system-interconnections"/>
      <w:r>
        <w:t xml:space="preserve">CA-03 SYSTEM INTERCONNECTIONS</w:t>
      </w:r>
      <w:bookmarkEnd w:id="39"/>
    </w:p>
    <w:p>
      <w:pPr>
        <w:pStyle w:val="BlockText"/>
      </w:pPr>
      <w:r>
        <w:t xml:space="preserve">Control description:</w:t>
      </w:r>
      <w:r>
        <w:t xml:space="preserve"> </w:t>
      </w:r>
      <w:hyperlink r:id="rId40">
        <w:r>
          <w:rPr>
            <w:rStyle w:val="Hyperlink"/>
          </w:rPr>
          <w:t xml:space="preserve">http://800-53.govready.com/control?id=CA-3</w:t>
        </w:r>
      </w:hyperlink>
    </w:p>
    <w:p>
      <w:pPr>
        <w:pStyle w:val="BlockText"/>
      </w:pPr>
      <w:r>
        <w:t xml:space="preserve">Security control type: System Specific Control</w:t>
      </w:r>
    </w:p>
    <w:p>
      <w:pPr>
        <w:pStyle w:val="Heading4"/>
      </w:pPr>
      <w:bookmarkStart w:id="41" w:name="civicactions-responsibility-5"/>
      <w:r>
        <w:t xml:space="preserve">CivicActions Responsibility</w:t>
      </w:r>
      <w:bookmarkEnd w:id="41"/>
    </w:p>
    <w:p>
      <w:pPr>
        <w:pStyle w:val="FirstParagraph"/>
      </w:pPr>
      <w:r>
        <w:t xml:space="preserve">This control is not applicable. CivicActions systems do not have system interconnections. The only communication conducted to CivicActions systems is through the Internet.</w:t>
      </w:r>
    </w:p>
    <w:p>
      <w:pPr>
        <w:pStyle w:val="Heading2"/>
      </w:pPr>
      <w:bookmarkStart w:id="42" w:name="ca-05-plan-of-action-and-milestones"/>
      <w:r>
        <w:t xml:space="preserve">CA-05 PLAN OF ACTION AND MILESTONES</w:t>
      </w:r>
      <w:bookmarkEnd w:id="42"/>
    </w:p>
    <w:p>
      <w:pPr>
        <w:pStyle w:val="BlockText"/>
      </w:pPr>
      <w:r>
        <w:t xml:space="preserve">Control description:</w:t>
      </w:r>
      <w:r>
        <w:t xml:space="preserve"> </w:t>
      </w:r>
      <w:hyperlink r:id="rId43">
        <w:r>
          <w:rPr>
            <w:rStyle w:val="Hyperlink"/>
          </w:rPr>
          <w:t xml:space="preserve">http://800-53.govready.com/control?id=CA-5</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4"/>
      </w:pPr>
      <w:bookmarkStart w:id="45" w:name="civicactions-responsibility-6"/>
      <w:r>
        <w:t xml:space="preserve">CivicActions Responsibility</w:t>
      </w:r>
      <w:bookmarkEnd w:id="45"/>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numPr>
          <w:numId w:val="1003"/>
          <w:ilvl w:val="0"/>
        </w:numPr>
      </w:pPr>
      <w:r>
        <w:t xml:space="preserve">The description of the deficiency,</w:t>
      </w:r>
    </w:p>
    <w:p>
      <w:pPr>
        <w:numPr>
          <w:numId w:val="1003"/>
          <w:ilvl w:val="0"/>
        </w:numPr>
      </w:pPr>
      <w:r>
        <w:t xml:space="preserve">Dedicated point of contact for this deficiency.</w:t>
      </w:r>
    </w:p>
    <w:p>
      <w:pPr>
        <w:numPr>
          <w:numId w:val="1003"/>
          <w:ilvl w:val="0"/>
        </w:numPr>
      </w:pPr>
      <w:r>
        <w:t xml:space="preserve">Cost of the mitigation strategy</w:t>
      </w:r>
    </w:p>
    <w:p>
      <w:pPr>
        <w:numPr>
          <w:numId w:val="1003"/>
          <w:ilvl w:val="0"/>
        </w:numPr>
      </w:pPr>
      <w:r>
        <w:t xml:space="preserve">Associated risk and NIST control</w:t>
      </w:r>
    </w:p>
    <w:p>
      <w:pPr>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2"/>
      </w:pPr>
      <w:bookmarkStart w:id="46" w:name="ca-06-security-authorization"/>
      <w:r>
        <w:t xml:space="preserve">CA-06 SECURITY AUTHORIZATION</w:t>
      </w:r>
      <w:bookmarkEnd w:id="46"/>
    </w:p>
    <w:p>
      <w:pPr>
        <w:pStyle w:val="BlockText"/>
      </w:pPr>
      <w:r>
        <w:t xml:space="preserve">Control description:</w:t>
      </w:r>
      <w:r>
        <w:t xml:space="preserve"> </w:t>
      </w:r>
      <w:hyperlink r:id="rId47">
        <w:r>
          <w:rPr>
            <w:rStyle w:val="Hyperlink"/>
          </w:rPr>
          <w:t xml:space="preserve">http://800-53.govready.com/control?id=CA-6</w:t>
        </w:r>
      </w:hyperlink>
    </w:p>
    <w:p>
      <w:pPr>
        <w:pStyle w:val="BlockText"/>
      </w:pPr>
      <w:r>
        <w:t xml:space="preserve">Security control type: Hybrid</w:t>
      </w:r>
    </w:p>
    <w:p>
      <w:pPr>
        <w:pStyle w:val="Heading4"/>
      </w:pPr>
      <w:bookmarkStart w:id="48" w:name="lincs-specific-control-or-lincs-responsibility-4"/>
      <w:r>
        <w:t xml:space="preserve">LINCS specific control or LINCS Responsibility</w:t>
      </w:r>
      <w:bookmarkEnd w:id="48"/>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2"/>
      </w:pPr>
      <w:bookmarkStart w:id="49" w:name="ca-07-continuous-monitoring"/>
      <w:r>
        <w:t xml:space="preserve">CA-07 CONTINUOUS MONITORING</w:t>
      </w:r>
      <w:bookmarkEnd w:id="49"/>
    </w:p>
    <w:p>
      <w:pPr>
        <w:pStyle w:val="BlockText"/>
      </w:pPr>
      <w:r>
        <w:t xml:space="preserve">Control description:</w:t>
      </w:r>
      <w:r>
        <w:t xml:space="preserve"> </w:t>
      </w:r>
      <w:hyperlink r:id="rId50">
        <w:r>
          <w:rPr>
            <w:rStyle w:val="Hyperlink"/>
          </w:rPr>
          <w:t xml:space="preserve">http://800-53.govready.com/control?id=CA-7</w:t>
        </w:r>
      </w:hyperlink>
    </w:p>
    <w:p>
      <w:pPr>
        <w:pStyle w:val="BlockText"/>
      </w:pPr>
      <w:r>
        <w:t xml:space="preserve">Security control type: Hybrid</w:t>
      </w:r>
    </w:p>
    <w:p>
      <w:pPr>
        <w:pStyle w:val="Heading3"/>
      </w:pPr>
      <w:bookmarkStart w:id="51" w:name="part-a-1"/>
      <w:r>
        <w:t xml:space="preserve">Part a)</w:t>
      </w:r>
      <w:bookmarkEnd w:id="51"/>
    </w:p>
    <w:p>
      <w:pPr>
        <w:pStyle w:val="Heading4"/>
      </w:pPr>
      <w:bookmarkStart w:id="52" w:name="civicactions-responsibility-7"/>
      <w:r>
        <w:t xml:space="preserve">CivicActions Responsibility</w:t>
      </w:r>
      <w:bookmarkEnd w:id="52"/>
    </w:p>
    <w:p>
      <w:pPr>
        <w:pStyle w:val="FirstParagraph"/>
      </w:pPr>
      <w:r>
        <w:t xml:space="preserve">CivicActions implements a continuous monitoring strategy that incorporates configuration management, system scanning and log analysis processes:</w:t>
      </w:r>
    </w:p>
    <w:p>
      <w:pPr>
        <w:numPr>
          <w:numId w:val="1004"/>
          <w:ilvl w:val="0"/>
        </w:numPr>
      </w:pPr>
      <w:r>
        <w:t xml:space="preserve">Configuration management includes the assessment of security impact analyses of</w:t>
      </w:r>
    </w:p>
    <w:p>
      <w:pPr>
        <w:numPr>
          <w:numId w:val="1000"/>
          <w:ilvl w:val="0"/>
        </w:numPr>
      </w:pPr>
      <w:r>
        <w:t xml:space="preserve">proposed and implemented changes.</w:t>
      </w:r>
    </w:p>
    <w:p>
      <w:pPr>
        <w:numPr>
          <w:numId w:val="1004"/>
          <w:ilvl w:val="0"/>
        </w:numPr>
      </w:pPr>
      <w:r>
        <w:t xml:space="preserve">System scanning is managed by running the OpanSCAP vulnerability scanner using the</w:t>
      </w:r>
    </w:p>
    <w:p>
      <w:pPr>
        <w:numPr>
          <w:numId w:val="1000"/>
          <w:ilvl w:val="0"/>
        </w:numPr>
      </w:pPr>
      <w:r>
        <w:t xml:space="preserve">DISA STIG profile.</w:t>
      </w:r>
    </w:p>
    <w:p>
      <w:pPr>
        <w:numPr>
          <w:numId w:val="1004"/>
          <w:ilvl w:val="0"/>
        </w:numPr>
      </w:pPr>
      <w:r>
        <w:t xml:space="preserve">Log analysis is managed by feeding logs to a Graylog dashboard for analysis.</w:t>
      </w:r>
    </w:p>
    <w:p>
      <w:pPr>
        <w:pStyle w:val="Heading4"/>
      </w:pPr>
      <w:bookmarkStart w:id="53" w:name="drupal-specific-control-support"/>
      <w:r>
        <w:t xml:space="preserve">Drupal specific control support</w:t>
      </w:r>
      <w:bookmarkEnd w:id="53"/>
    </w:p>
    <w:p>
      <w:pPr>
        <w:pStyle w:val="FirstParagraph"/>
      </w:pPr>
      <w:r>
        <w:t xml:space="preserve">CivicActions follows recommendations and best practices developed by the Drupal community for monitoring. Examples of specific logs and metrics are included in AU-2 and AU-3.</w:t>
      </w:r>
    </w:p>
    <w:p>
      <w:pPr>
        <w:pStyle w:val="Heading3"/>
      </w:pPr>
      <w:bookmarkStart w:id="54" w:name="part-b-1"/>
      <w:r>
        <w:t xml:space="preserve">Part b)</w:t>
      </w:r>
      <w:bookmarkEnd w:id="54"/>
    </w:p>
    <w:p>
      <w:pPr>
        <w:pStyle w:val="Heading4"/>
      </w:pPr>
      <w:bookmarkStart w:id="55" w:name="civicactions-responsibility-8"/>
      <w:r>
        <w:t xml:space="preserve">CivicActions Responsibility</w:t>
      </w:r>
      <w:bookmarkEnd w:id="55"/>
    </w:p>
    <w:p>
      <w:pPr>
        <w:pStyle w:val="FirstParagraph"/>
      </w:pPr>
      <w:r>
        <w:t xml:space="preserve">Configuration management and log analysis is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CivicActions Security.</w:t>
      </w:r>
    </w:p>
    <w:p>
      <w:pPr>
        <w:pStyle w:val="Heading4"/>
      </w:pPr>
      <w:bookmarkStart w:id="56" w:name="amazon-web-services-aws-us-eastwest-control-support-1"/>
      <w:r>
        <w:t xml:space="preserve">Amazon Web Services (AWS) US-East/West control support</w:t>
      </w:r>
      <w:bookmarkEnd w:id="56"/>
    </w:p>
    <w:p>
      <w:pPr>
        <w:pStyle w:val="FirstParagraph"/>
      </w:pPr>
      <w:r>
        <w:t xml:space="preserve">The system partially inherits this control from the FedRAMP Provisional ATO granted to the AWS Cloud dated 1 May 2013 for the following: continuous monitoring.</w:t>
      </w:r>
    </w:p>
    <w:p>
      <w:pPr>
        <w:pStyle w:val="Heading3"/>
      </w:pPr>
      <w:bookmarkStart w:id="57" w:name="part-c-1"/>
      <w:r>
        <w:t xml:space="preserve">Part c)</w:t>
      </w:r>
      <w:bookmarkEnd w:id="57"/>
    </w:p>
    <w:p>
      <w:pPr>
        <w:pStyle w:val="Heading4"/>
      </w:pPr>
      <w:bookmarkStart w:id="58" w:name="drupal-specific-control-support-1"/>
      <w:r>
        <w:t xml:space="preserve">Drupal specific control support</w:t>
      </w:r>
      <w:bookmarkEnd w:id="5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3"/>
      </w:pPr>
      <w:bookmarkStart w:id="59" w:name="part-d-1"/>
      <w:r>
        <w:t xml:space="preserve">Part d)</w:t>
      </w:r>
      <w:bookmarkEnd w:id="59"/>
    </w:p>
    <w:p>
      <w:pPr>
        <w:pStyle w:val="Heading4"/>
      </w:pPr>
      <w:bookmarkStart w:id="60" w:name="civicactions-responsibility-9"/>
      <w:r>
        <w:t xml:space="preserve">CivicActions Responsibility</w:t>
      </w:r>
      <w:bookmarkEnd w:id="60"/>
    </w:p>
    <w:p>
      <w:pPr>
        <w:pStyle w:val="FirstParagraph"/>
      </w:pPr>
      <w:r>
        <w:t xml:space="preserve">CivicActions conducts or oversees continuous system security monitoring.</w:t>
      </w:r>
    </w:p>
    <w:p>
      <w:pPr>
        <w:pStyle w:val="Heading4"/>
      </w:pPr>
      <w:bookmarkStart w:id="61" w:name="amazon-web-services-aws-us-eastwest-control-support-2"/>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ongoing security status monitoring.</w:t>
      </w:r>
    </w:p>
    <w:p>
      <w:pPr>
        <w:pStyle w:val="Heading3"/>
      </w:pPr>
      <w:bookmarkStart w:id="62" w:name="part-e"/>
      <w:r>
        <w:t xml:space="preserve">Part e)</w:t>
      </w:r>
      <w:bookmarkEnd w:id="62"/>
    </w:p>
    <w:p>
      <w:pPr>
        <w:pStyle w:val="Heading4"/>
      </w:pPr>
      <w:bookmarkStart w:id="63" w:name="civicactions-responsibility-10"/>
      <w:r>
        <w:t xml:space="preserve">CivicActions Responsibility</w:t>
      </w:r>
      <w:bookmarkEnd w:id="6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3"/>
      </w:pPr>
      <w:bookmarkStart w:id="64" w:name="part-f"/>
      <w:r>
        <w:t xml:space="preserve">Part f)</w:t>
      </w:r>
      <w:bookmarkEnd w:id="64"/>
    </w:p>
    <w:p>
      <w:pPr>
        <w:pStyle w:val="Heading4"/>
      </w:pPr>
      <w:bookmarkStart w:id="65" w:name="civicactions-responsibility-11"/>
      <w:r>
        <w:t xml:space="preserve">CivicActions Responsibility</w:t>
      </w:r>
      <w:bookmarkEnd w:id="6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3"/>
      </w:pPr>
      <w:bookmarkStart w:id="66" w:name="part-g"/>
      <w:r>
        <w:t xml:space="preserve">Part g)</w:t>
      </w:r>
      <w:bookmarkEnd w:id="66"/>
    </w:p>
    <w:p>
      <w:pPr>
        <w:pStyle w:val="Heading4"/>
      </w:pPr>
      <w:bookmarkStart w:id="67" w:name="civicactions-responsibility-12"/>
      <w:r>
        <w:t xml:space="preserve">CivicActions Responsibility</w:t>
      </w:r>
      <w:bookmarkEnd w:id="6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2"/>
      </w:pPr>
      <w:bookmarkStart w:id="68" w:name="ca-09-internal-system-connections"/>
      <w:r>
        <w:t xml:space="preserve">CA-09 INTERNAL SYSTEM CONNECTIONS</w:t>
      </w:r>
      <w:bookmarkEnd w:id="68"/>
    </w:p>
    <w:p>
      <w:pPr>
        <w:pStyle w:val="BlockText"/>
      </w:pPr>
      <w:r>
        <w:t xml:space="preserve">Control description:</w:t>
      </w:r>
      <w:r>
        <w:t xml:space="preserve"> </w:t>
      </w:r>
      <w:hyperlink r:id="rId69">
        <w:r>
          <w:rPr>
            <w:rStyle w:val="Hyperlink"/>
          </w:rPr>
          <w:t xml:space="preserve">http://800-53.govready.com/control?id=CA-9</w:t>
        </w:r>
      </w:hyperlink>
    </w:p>
    <w:p>
      <w:pPr>
        <w:pStyle w:val="BlockText"/>
      </w:pPr>
      <w:r>
        <w:t xml:space="preserve">Security control type: Inherited</w:t>
      </w:r>
    </w:p>
    <w:p>
      <w:pPr>
        <w:pStyle w:val="Heading4"/>
      </w:pPr>
      <w:bookmarkStart w:id="70" w:name="amazon-web-services-aws-us-eastwest-control-support-3"/>
      <w:r>
        <w:t xml:space="preserve">Amazon Web Services (AWS) US-East/West control support</w:t>
      </w:r>
      <w:bookmarkEnd w:id="70"/>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2018-11-12T18:56:39Z</dcterms:created>
  <dcterms:modified xsi:type="dcterms:W3CDTF">2018-11-12T18:56:39Z</dcterms:modified>
</cp:coreProperties>
</file>

<file path=docProps/custom.xml><?xml version="1.0" encoding="utf-8"?>
<Properties xmlns="http://schemas.openxmlformats.org/officeDocument/2006/custom-properties" xmlns:vt="http://schemas.openxmlformats.org/officeDocument/2006/docPropsVTypes"/>
</file>