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ca-1-security-assessment-and-authorization-policy-and-procedures"/>
      <w:r>
        <w:t xml:space="preserve">CA-1: Security Assessment And Authorization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assessment and authorization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security assessment</w:t>
      </w:r>
      <w:r>
        <w:br w:type="textWrapping"/>
      </w:r>
      <w:r>
        <w:rPr>
          <w:rStyle w:val="VerbatimChar"/>
        </w:rPr>
        <w:t xml:space="preserve">and authorization policy and associated security assessment and authorization controls; and</w:t>
      </w:r>
      <w:r>
        <w:br w:type="textWrapping"/>
      </w:r>
      <w:r>
        <w:rPr>
          <w:rStyle w:val="VerbatimChar"/>
        </w:rPr>
        <w:t xml:space="preserve">  b.  Reviews and updates the current:</w:t>
      </w:r>
      <w:r>
        <w:br w:type="textWrapping"/>
      </w:r>
      <w:r>
        <w:rPr>
          <w:rStyle w:val="VerbatimChar"/>
        </w:rPr>
        <w:t xml:space="preserve">    1.  Security assessment and authorization policy [Assignment: organization-defined</w:t>
      </w:r>
      <w:r>
        <w:br w:type="textWrapping"/>
      </w:r>
      <w:r>
        <w:rPr>
          <w:rStyle w:val="VerbatimChar"/>
        </w:rPr>
        <w:t xml:space="preserve">frequency]; and</w:t>
      </w:r>
      <w:r>
        <w:br w:type="textWrapping"/>
      </w:r>
      <w:r>
        <w:rPr>
          <w:rStyle w:val="VerbatimChar"/>
        </w:rPr>
        <w:t xml:space="preserve">    2.  Security assessment and authorization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Project follows the None. The Project System Security Policy (SSP) provides guidance on all aspects of security for the protection of Project information technology resources.</w:t>
      </w:r>
    </w:p>
    <w:p>
      <w:pPr>
        <w:pStyle w:val="BodyText"/>
      </w:pPr>
      <w:r>
        <w:t xml:space="preserve">Project will periodically review and update the SSP when there is a significant change to the regulatory, operational, or technical environment.</w:t>
      </w:r>
    </w:p>
    <w:p>
      <w:pPr>
        <w:pStyle w:val="Heading3"/>
      </w:pPr>
      <w:bookmarkStart w:id="27" w:name="ca-2-security-assessments"/>
      <w:r>
        <w:t xml:space="preserve">CA-2: Security Assessments</w:t>
      </w:r>
      <w:bookmarkEnd w:id="27"/>
    </w:p>
    <w:p>
      <w:pPr>
        <w:pStyle w:val="SourceCode"/>
      </w:pPr>
      <w:r>
        <w:rPr>
          <w:rStyle w:val="VerbatimChar"/>
        </w:rPr>
        <w:t xml:space="preserve">The organization:</w:t>
      </w:r>
      <w:r>
        <w:br w:type="textWrapping"/>
      </w:r>
      <w:r>
        <w:rPr>
          <w:rStyle w:val="VerbatimChar"/>
        </w:rPr>
        <w:t xml:space="preserve">  a.  Develops a security assessment plan that describes the scope of the assessment</w:t>
      </w:r>
      <w:r>
        <w:br w:type="textWrapping"/>
      </w:r>
      <w:r>
        <w:rPr>
          <w:rStyle w:val="VerbatimChar"/>
        </w:rPr>
        <w:t xml:space="preserve">including:</w:t>
      </w:r>
      <w:r>
        <w:br w:type="textWrapping"/>
      </w:r>
      <w:r>
        <w:rPr>
          <w:rStyle w:val="VerbatimChar"/>
        </w:rPr>
        <w:t xml:space="preserve">    1.  Security controls and control enhancements under assessment;</w:t>
      </w:r>
      <w:r>
        <w:br w:type="textWrapping"/>
      </w:r>
      <w:r>
        <w:rPr>
          <w:rStyle w:val="VerbatimChar"/>
        </w:rPr>
        <w:t xml:space="preserve">    2.  Assessment procedures to be used to determine security control effectiveness;</w:t>
      </w:r>
      <w:r>
        <w:br w:type="textWrapping"/>
      </w:r>
      <w:r>
        <w:rPr>
          <w:rStyle w:val="VerbatimChar"/>
        </w:rPr>
        <w:t xml:space="preserve">and</w:t>
      </w:r>
      <w:r>
        <w:br w:type="textWrapping"/>
      </w:r>
      <w:r>
        <w:rPr>
          <w:rStyle w:val="VerbatimChar"/>
        </w:rPr>
        <w:t xml:space="preserve">    3.  Assessment environment, assessment team, and assessment roles and responsibilities;</w:t>
      </w:r>
      <w:r>
        <w:br w:type="textWrapping"/>
      </w:r>
      <w:r>
        <w:rPr>
          <w:rStyle w:val="VerbatimChar"/>
        </w:rPr>
        <w:t xml:space="preserve">  b.  Assesses the security controls in the information system and its environment</w:t>
      </w:r>
      <w:r>
        <w:br w:type="textWrapping"/>
      </w:r>
      <w:r>
        <w:rPr>
          <w:rStyle w:val="VerbatimChar"/>
        </w:rPr>
        <w:t xml:space="preserve">of operation [Assignment: organization-defined frequency] to determine the extent to which the controls are implemented correctly, operating as intended, and producing the desired outcome with respect to meeting established security requirements;</w:t>
      </w:r>
      <w:r>
        <w:br w:type="textWrapping"/>
      </w:r>
      <w:r>
        <w:rPr>
          <w:rStyle w:val="VerbatimChar"/>
        </w:rPr>
        <w:t xml:space="preserve">  c.  Produces a security assessment report that documents the results of the</w:t>
      </w:r>
      <w:r>
        <w:br w:type="textWrapping"/>
      </w:r>
      <w:r>
        <w:rPr>
          <w:rStyle w:val="VerbatimChar"/>
        </w:rPr>
        <w:t xml:space="preserve">assessment; and</w:t>
      </w:r>
      <w:r>
        <w:br w:type="textWrapping"/>
      </w:r>
      <w:r>
        <w:rPr>
          <w:rStyle w:val="VerbatimChar"/>
        </w:rPr>
        <w:t xml:space="preserve">  d.  Provides the results of the security control assessment to [Assignment:</w:t>
      </w:r>
      <w:r>
        <w:br w:type="textWrapping"/>
      </w:r>
      <w:r>
        <w:rPr>
          <w:rStyle w:val="VerbatimChar"/>
        </w:rPr>
        <w:t xml:space="preserve">organization-defined individuals or roles].</w:t>
      </w:r>
    </w:p>
    <w:p>
      <w:pPr>
        <w:pStyle w:val="FirstParagraph"/>
      </w:pPr>
      <w:r>
        <w:rPr>
          <w:b/>
        </w:rPr>
        <w:t xml:space="preserve">Status:</w:t>
      </w:r>
      <w:r>
        <w:t xml:space="preserve"> </w:t>
      </w:r>
      <w:r>
        <w:t xml:space="preserve">Complete</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5"/>
      </w:pPr>
      <w:bookmarkStart w:id="30" w:name="project-1"/>
      <w:r>
        <w:t xml:space="preserve">Project</w:t>
      </w:r>
      <w:bookmarkEnd w:id="30"/>
    </w:p>
    <w:p>
      <w:pPr>
        <w:pStyle w:val="FirstParagraph"/>
      </w:pPr>
      <w:r>
        <w:t xml:space="preserve">The The Project follows the None. The The Project will conduct annual security assessments to comply with FISMA and NIST regulations. Project will draw on NIST Special Publications 800-53A security controls to complete the assessment. All controls and sub-set security controls will be evaluated and a risk assessment will be conducted. The scope of the assessment includes:</w:t>
      </w:r>
    </w:p>
    <w:p>
      <w:pPr>
        <w:pStyle w:val="Compact"/>
        <w:numPr>
          <w:numId w:val="1001"/>
          <w:ilvl w:val="0"/>
        </w:numPr>
      </w:pPr>
      <w:r>
        <w:t xml:space="preserve">Security controls and control enhancements under assessment</w:t>
      </w:r>
    </w:p>
    <w:p>
      <w:pPr>
        <w:pStyle w:val="Compact"/>
        <w:numPr>
          <w:numId w:val="1001"/>
          <w:ilvl w:val="0"/>
        </w:numPr>
      </w:pPr>
      <w:r>
        <w:t xml:space="preserve">Assessment procedures to be used to determine security control effectiveness</w:t>
      </w:r>
    </w:p>
    <w:p>
      <w:pPr>
        <w:pStyle w:val="Compact"/>
        <w:numPr>
          <w:numId w:val="1001"/>
          <w:ilvl w:val="0"/>
        </w:numPr>
      </w:pPr>
      <w:r>
        <w:t xml:space="preserve">Assessment environment, assessment team, and assessment roles and responsibilities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5"/>
      </w:pPr>
      <w:bookmarkStart w:id="35" w:name="project-2"/>
      <w:r>
        <w:t xml:space="preserve">Project</w:t>
      </w:r>
      <w:bookmarkEnd w:id="35"/>
    </w:p>
    <w:p>
      <w:pPr>
        <w:pStyle w:val="FirstParagraph"/>
      </w:pPr>
      <w:r>
        <w:t xml:space="preserve">The Project Authorizing Official or Designated Representative will create a Security Assessment Report (SAR). A full assessment shall be conducted by an independent third party assessor at least every three years.</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pStyle w:val="Compact"/>
        <w:numPr>
          <w:numId w:val="1002"/>
          <w:ilvl w:val="0"/>
        </w:numPr>
      </w:pPr>
      <w:r>
        <w:t xml:space="preserve">Security Control Matrix</w:t>
      </w:r>
    </w:p>
    <w:p>
      <w:pPr>
        <w:pStyle w:val="Compact"/>
        <w:numPr>
          <w:numId w:val="1002"/>
          <w:ilvl w:val="0"/>
        </w:numPr>
      </w:pPr>
      <w:r>
        <w:t xml:space="preserve">Privacy Impact Assessment</w:t>
      </w:r>
    </w:p>
    <w:p>
      <w:pPr>
        <w:pStyle w:val="Compact"/>
        <w:numPr>
          <w:numId w:val="1002"/>
          <w:ilvl w:val="0"/>
        </w:numPr>
      </w:pPr>
      <w:r>
        <w:t xml:space="preserve">E-Authentication</w:t>
      </w:r>
    </w:p>
    <w:p>
      <w:pPr>
        <w:pStyle w:val="Compact"/>
        <w:numPr>
          <w:numId w:val="1002"/>
          <w:ilvl w:val="0"/>
        </w:numPr>
      </w:pPr>
      <w:r>
        <w:t xml:space="preserve">Contingency Plan</w:t>
      </w:r>
    </w:p>
    <w:p>
      <w:pPr>
        <w:pStyle w:val="Compact"/>
        <w:numPr>
          <w:numId w:val="1002"/>
          <w:ilvl w:val="0"/>
        </w:numPr>
      </w:pPr>
      <w:r>
        <w:t xml:space="preserve">Configuration Management Plan</w:t>
      </w:r>
    </w:p>
    <w:p>
      <w:pPr>
        <w:pStyle w:val="Compact"/>
        <w:numPr>
          <w:numId w:val="1002"/>
          <w:ilvl w:val="0"/>
        </w:numPr>
      </w:pPr>
      <w:r>
        <w:t xml:space="preserve">Rules of Behavior</w:t>
      </w:r>
    </w:p>
    <w:p>
      <w:pPr>
        <w:pStyle w:val="Compact"/>
        <w:numPr>
          <w:numId w:val="1002"/>
          <w:ilvl w:val="0"/>
        </w:numPr>
      </w:pPr>
      <w:r>
        <w:t xml:space="preserve">Incident Response Plan</w:t>
      </w:r>
    </w:p>
    <w:p>
      <w:pPr>
        <w:pStyle w:val="Heading3"/>
      </w:pPr>
      <w:bookmarkStart w:id="38" w:name="ca-3-system-interconnections"/>
      <w:r>
        <w:t xml:space="preserve">CA-3: System Interconnections</w:t>
      </w:r>
      <w:bookmarkEnd w:id="38"/>
    </w:p>
    <w:p>
      <w:pPr>
        <w:pStyle w:val="SourceCode"/>
      </w:pPr>
      <w:r>
        <w:rPr>
          <w:rStyle w:val="VerbatimChar"/>
        </w:rPr>
        <w:t xml:space="preserve">The organization:</w:t>
      </w:r>
      <w:r>
        <w:br w:type="textWrapping"/>
      </w:r>
      <w:r>
        <w:rPr>
          <w:rStyle w:val="VerbatimChar"/>
        </w:rPr>
        <w:t xml:space="preserve">  a.  Authorizes connections from the information system to other information</w:t>
      </w:r>
      <w:r>
        <w:br w:type="textWrapping"/>
      </w:r>
      <w:r>
        <w:rPr>
          <w:rStyle w:val="VerbatimChar"/>
        </w:rPr>
        <w:t xml:space="preserve">systems through the use of Interconnection Security Agreements;</w:t>
      </w:r>
      <w:r>
        <w:br w:type="textWrapping"/>
      </w:r>
      <w:r>
        <w:rPr>
          <w:rStyle w:val="VerbatimChar"/>
        </w:rPr>
        <w:t xml:space="preserve">  b.  Documents, for each interconnection, the interface characteristics, security</w:t>
      </w:r>
      <w:r>
        <w:br w:type="textWrapping"/>
      </w:r>
      <w:r>
        <w:rPr>
          <w:rStyle w:val="VerbatimChar"/>
        </w:rPr>
        <w:t xml:space="preserve">requirements, and the nature of the information communicated; and</w:t>
      </w:r>
      <w:r>
        <w:br w:type="textWrapping"/>
      </w:r>
      <w:r>
        <w:rPr>
          <w:rStyle w:val="VerbatimChar"/>
        </w:rPr>
        <w:t xml:space="preserve">  c.  Reviews and updates Interconnection Security Agreements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39" w:name="civicactions-5"/>
      <w:r>
        <w:t xml:space="preserve">CivicActions</w:t>
      </w:r>
      <w:bookmarkEnd w:id="39"/>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40" w:name="ca-5-plan-of-action-and-milestones"/>
      <w:r>
        <w:t xml:space="preserve">CA-5: Plan Of Action And Milestones</w:t>
      </w:r>
      <w:bookmarkEnd w:id="40"/>
    </w:p>
    <w:p>
      <w:pPr>
        <w:pStyle w:val="SourceCode"/>
      </w:pPr>
      <w:r>
        <w:rPr>
          <w:rStyle w:val="VerbatimChar"/>
        </w:rPr>
        <w:t xml:space="preserve">The organization:</w:t>
      </w:r>
      <w:r>
        <w:br w:type="textWrapping"/>
      </w:r>
      <w:r>
        <w:rPr>
          <w:rStyle w:val="VerbatimChar"/>
        </w:rPr>
        <w:t xml:space="preserve">  a.  Develops a plan of action and milestones for the information system to document</w:t>
      </w:r>
      <w:r>
        <w:br w:type="textWrapping"/>
      </w:r>
      <w:r>
        <w:rPr>
          <w:rStyle w:val="VerbatimChar"/>
        </w:rPr>
        <w:t xml:space="preserve">the organization�s planned remedial actions to correct weaknesses or deficiencies noted during the assessment of the security controls and to reduce or eliminate known vulnerabilities in the system; and</w:t>
      </w:r>
      <w:r>
        <w:br w:type="textWrapping"/>
      </w:r>
      <w:r>
        <w:rPr>
          <w:rStyle w:val="VerbatimChar"/>
        </w:rPr>
        <w:t xml:space="preserve">  b.  Updates existing plan of action and milestones [Assignment: organization-defined</w:t>
      </w:r>
      <w:r>
        <w:br w:type="textWrapping"/>
      </w:r>
      <w:r>
        <w:rPr>
          <w:rStyle w:val="VerbatimChar"/>
        </w:rPr>
        <w:t xml:space="preserve">frequency] based on the findings from security controls assessments, security impact analyses, and continuous monitoring activities.</w:t>
      </w:r>
    </w:p>
    <w:p>
      <w:pPr>
        <w:pStyle w:val="FirstParagraph"/>
      </w:pPr>
      <w:r>
        <w:rPr>
          <w:b/>
        </w:rPr>
        <w:t xml:space="preserve">Status:</w:t>
      </w:r>
      <w:r>
        <w:t xml:space="preserve"> </w:t>
      </w:r>
      <w:r>
        <w:t xml:space="preserve">Complete</w:t>
      </w:r>
    </w:p>
    <w:p>
      <w:pPr>
        <w:pStyle w:val="Heading5"/>
      </w:pPr>
      <w:bookmarkStart w:id="41" w:name="civicactions-6"/>
      <w:r>
        <w:t xml:space="preserve">CivicActions</w:t>
      </w:r>
      <w:bookmarkEnd w:id="41"/>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pStyle w:val="Compact"/>
        <w:numPr>
          <w:numId w:val="1003"/>
          <w:ilvl w:val="0"/>
        </w:numPr>
      </w:pPr>
      <w:r>
        <w:t xml:space="preserve">The description of the deficiency,</w:t>
      </w:r>
    </w:p>
    <w:p>
      <w:pPr>
        <w:pStyle w:val="Compact"/>
        <w:numPr>
          <w:numId w:val="1003"/>
          <w:ilvl w:val="0"/>
        </w:numPr>
      </w:pPr>
      <w:r>
        <w:t xml:space="preserve">Dedicated point of contact for this deficiency.</w:t>
      </w:r>
    </w:p>
    <w:p>
      <w:pPr>
        <w:pStyle w:val="Compact"/>
        <w:numPr>
          <w:numId w:val="1003"/>
          <w:ilvl w:val="0"/>
        </w:numPr>
      </w:pPr>
      <w:r>
        <w:t xml:space="preserve">Cost of the mitigation strategy</w:t>
      </w:r>
    </w:p>
    <w:p>
      <w:pPr>
        <w:pStyle w:val="Compact"/>
        <w:numPr>
          <w:numId w:val="1003"/>
          <w:ilvl w:val="0"/>
        </w:numPr>
      </w:pPr>
      <w:r>
        <w:t xml:space="preserve">Associated risk and NIST control</w:t>
      </w:r>
    </w:p>
    <w:p>
      <w:pPr>
        <w:pStyle w:val="Compact"/>
        <w:numPr>
          <w:numId w:val="1003"/>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5"/>
      </w:pPr>
      <w:bookmarkStart w:id="42" w:name="project-3"/>
      <w:r>
        <w:t xml:space="preserve">Project</w:t>
      </w:r>
      <w:bookmarkEnd w:id="42"/>
    </w:p>
    <w:p>
      <w:pPr>
        <w:pStyle w:val="FirstParagraph"/>
      </w:pPr>
      <w:r>
        <w:t xml:space="preserve">The Project follows the None procedures in managing POA&amp;Ms.</w:t>
      </w:r>
    </w:p>
    <w:p>
      <w:pPr>
        <w:pStyle w:val="Heading3"/>
      </w:pPr>
      <w:bookmarkStart w:id="43" w:name="ca-6-security-authorization"/>
      <w:r>
        <w:t xml:space="preserve">CA-6: Security Authorization</w:t>
      </w:r>
      <w:bookmarkEnd w:id="43"/>
    </w:p>
    <w:p>
      <w:pPr>
        <w:pStyle w:val="SourceCode"/>
      </w:pPr>
      <w:r>
        <w:rPr>
          <w:rStyle w:val="VerbatimChar"/>
        </w:rPr>
        <w:t xml:space="preserve">The organization:</w:t>
      </w:r>
      <w:r>
        <w:br w:type="textWrapping"/>
      </w:r>
      <w:r>
        <w:rPr>
          <w:rStyle w:val="VerbatimChar"/>
        </w:rPr>
        <w:t xml:space="preserve">  a.  Assigns a senior-level executive or manager as the authorizing official</w:t>
      </w:r>
      <w:r>
        <w:br w:type="textWrapping"/>
      </w:r>
      <w:r>
        <w:rPr>
          <w:rStyle w:val="VerbatimChar"/>
        </w:rPr>
        <w:t xml:space="preserve">for the information system;</w:t>
      </w:r>
      <w:r>
        <w:br w:type="textWrapping"/>
      </w:r>
      <w:r>
        <w:rPr>
          <w:rStyle w:val="VerbatimChar"/>
        </w:rPr>
        <w:t xml:space="preserve">  b.  Ensures that the authorizing official authorizes the information system</w:t>
      </w:r>
      <w:r>
        <w:br w:type="textWrapping"/>
      </w:r>
      <w:r>
        <w:rPr>
          <w:rStyle w:val="VerbatimChar"/>
        </w:rPr>
        <w:t xml:space="preserve">for processing before commencing operations; and</w:t>
      </w:r>
      <w:r>
        <w:br w:type="textWrapping"/>
      </w:r>
      <w:r>
        <w:rPr>
          <w:rStyle w:val="VerbatimChar"/>
        </w:rPr>
        <w:t xml:space="preserve">  c.  Updates the security authorization [Assignment: organization-defined frequency].</w:t>
      </w:r>
    </w:p>
    <w:p>
      <w:pPr>
        <w:pStyle w:val="FirstParagraph"/>
      </w:pPr>
      <w:r>
        <w:rPr>
          <w:b/>
        </w:rPr>
        <w:t xml:space="preserve">Status:</w:t>
      </w:r>
      <w:r>
        <w:t xml:space="preserve"> </w:t>
      </w:r>
      <w:r>
        <w:t xml:space="preserve">Complete</w:t>
      </w:r>
    </w:p>
    <w:p>
      <w:pPr>
        <w:pStyle w:val="Heading5"/>
      </w:pPr>
      <w:bookmarkStart w:id="44" w:name="project-4"/>
      <w:r>
        <w:t xml:space="preserve">Project</w:t>
      </w:r>
      <w:bookmarkEnd w:id="44"/>
    </w:p>
    <w:p>
      <w:pPr>
        <w:pStyle w:val="FirstParagraph"/>
      </w:pPr>
      <w:r>
        <w:t xml:space="preserve">The Project follows the None. The Project system received its first three-year security accreditation on March 3, 2009, and most recently received an ATO on February 5, 2016.</w:t>
      </w:r>
    </w:p>
    <w:p>
      <w:pPr>
        <w:pStyle w:val="BodyText"/>
      </w:pPr>
      <w:r>
        <w:t xml:space="preserve">ATO re-assessment will be performed every three years or when there is a major change to the application, in which a senior organizational official will sign and approve the security accreditation.</w:t>
      </w:r>
    </w:p>
    <w:p>
      <w:pPr>
        <w:pStyle w:val="Heading3"/>
      </w:pPr>
      <w:bookmarkStart w:id="45" w:name="ca-7-continuous-monitoring"/>
      <w:r>
        <w:t xml:space="preserve">CA-7: Continuous Monitoring</w:t>
      </w:r>
      <w:bookmarkEnd w:id="45"/>
    </w:p>
    <w:p>
      <w:pPr>
        <w:pStyle w:val="SourceCode"/>
      </w:pPr>
      <w:r>
        <w:rPr>
          <w:rStyle w:val="VerbatimChar"/>
        </w:rPr>
        <w:t xml:space="preserve">The organization develops a continuous monitoring strategy and implements a continuous monitoring program that includes:</w:t>
      </w:r>
      <w:r>
        <w:br w:type="textWrapping"/>
      </w:r>
      <w:r>
        <w:rPr>
          <w:rStyle w:val="VerbatimChar"/>
        </w:rPr>
        <w:t xml:space="preserve">  a.  Establishment of [Assignment: organization-defined metrics] to be monitored;</w:t>
      </w:r>
      <w:r>
        <w:br w:type="textWrapping"/>
      </w:r>
      <w:r>
        <w:rPr>
          <w:rStyle w:val="VerbatimChar"/>
        </w:rPr>
        <w:t xml:space="preserve">  b.  Establishment of [Assignment: organization-defined frequencies] for monitoring</w:t>
      </w:r>
      <w:r>
        <w:br w:type="textWrapping"/>
      </w:r>
      <w:r>
        <w:rPr>
          <w:rStyle w:val="VerbatimChar"/>
        </w:rPr>
        <w:t xml:space="preserve">and [Assignment: organization-defined frequencies] for assessments supporting such monitoring;</w:t>
      </w:r>
      <w:r>
        <w:br w:type="textWrapping"/>
      </w:r>
      <w:r>
        <w:rPr>
          <w:rStyle w:val="VerbatimChar"/>
        </w:rPr>
        <w:t xml:space="preserve">  c.  Ongoing security control assessments in accordance with the organizational</w:t>
      </w:r>
      <w:r>
        <w:br w:type="textWrapping"/>
      </w:r>
      <w:r>
        <w:rPr>
          <w:rStyle w:val="VerbatimChar"/>
        </w:rPr>
        <w:t xml:space="preserve">continuous monitoring strategy;</w:t>
      </w:r>
      <w:r>
        <w:br w:type="textWrapping"/>
      </w:r>
      <w:r>
        <w:rPr>
          <w:rStyle w:val="VerbatimChar"/>
        </w:rPr>
        <w:t xml:space="preserve">  d.  Ongoing security status monitoring of organization-defined metrics in accordance</w:t>
      </w:r>
      <w:r>
        <w:br w:type="textWrapping"/>
      </w:r>
      <w:r>
        <w:rPr>
          <w:rStyle w:val="VerbatimChar"/>
        </w:rPr>
        <w:t xml:space="preserve">with the organizational continuous monitoring strategy;</w:t>
      </w:r>
      <w:r>
        <w:br w:type="textWrapping"/>
      </w:r>
      <w:r>
        <w:rPr>
          <w:rStyle w:val="VerbatimChar"/>
        </w:rPr>
        <w:t xml:space="preserve">  e.  Correlation and analysis of security-related information generated by assessments</w:t>
      </w:r>
      <w:r>
        <w:br w:type="textWrapping"/>
      </w:r>
      <w:r>
        <w:rPr>
          <w:rStyle w:val="VerbatimChar"/>
        </w:rPr>
        <w:t xml:space="preserve">and monitoring;</w:t>
      </w:r>
      <w:r>
        <w:br w:type="textWrapping"/>
      </w:r>
      <w:r>
        <w:rPr>
          <w:rStyle w:val="VerbatimChar"/>
        </w:rPr>
        <w:t xml:space="preserve">  f.  Response actions to address results of the analysis of security-related</w:t>
      </w:r>
      <w:r>
        <w:br w:type="textWrapping"/>
      </w:r>
      <w:r>
        <w:rPr>
          <w:rStyle w:val="VerbatimChar"/>
        </w:rPr>
        <w:t xml:space="preserve">information; and</w:t>
      </w:r>
      <w:r>
        <w:br w:type="textWrapping"/>
      </w:r>
      <w:r>
        <w:rPr>
          <w:rStyle w:val="VerbatimChar"/>
        </w:rPr>
        <w:t xml:space="preserve">  g.  Reporting the security status of organization and the information system</w:t>
      </w:r>
      <w:r>
        <w:br w:type="textWrapping"/>
      </w:r>
      <w:r>
        <w:rPr>
          <w:rStyle w:val="VerbatimChar"/>
        </w:rPr>
        <w:t xml:space="preserve">to [Assignment: organization-defined personnel or roles] [Assignment: organization-defined frequency].</w:t>
      </w:r>
    </w:p>
    <w:p>
      <w:pPr>
        <w:pStyle w:val="FirstParagraph"/>
      </w:pPr>
      <w:r>
        <w:rPr>
          <w:b/>
        </w:rPr>
        <w:t xml:space="preserve">Status:</w:t>
      </w:r>
      <w:r>
        <w:t xml:space="preserve"> </w:t>
      </w:r>
      <w:r>
        <w:t xml:space="preserve">Partial</w:t>
      </w:r>
    </w:p>
    <w:p>
      <w:pPr>
        <w:pStyle w:val="Heading4"/>
      </w:pPr>
      <w:bookmarkStart w:id="46" w:name="a-1"/>
      <w:r>
        <w:t xml:space="preserve">a</w:t>
      </w:r>
      <w:bookmarkEnd w:id="46"/>
    </w:p>
    <w:p>
      <w:pPr>
        <w:pStyle w:val="Heading5"/>
      </w:pPr>
      <w:bookmarkStart w:id="47" w:name="civicactions-7"/>
      <w:r>
        <w:t xml:space="preserve">CivicActions</w:t>
      </w:r>
      <w:bookmarkEnd w:id="47"/>
    </w:p>
    <w:p>
      <w:pPr>
        <w:pStyle w:val="FirstParagraph"/>
      </w:pPr>
      <w:r>
        <w:t xml:space="preserve">CivicActions implements a continuous monitoring strategy that incorporates configuration management, system scanning and log analysis processes:</w:t>
      </w:r>
    </w:p>
    <w:p>
      <w:pPr>
        <w:pStyle w:val="Compact"/>
        <w:numPr>
          <w:numId w:val="1004"/>
          <w:ilvl w:val="0"/>
        </w:numPr>
      </w:pPr>
      <w:r>
        <w:t xml:space="preserve">Configuration management includes the assessment of security impact analyses of proposed and implemented changes.</w:t>
      </w:r>
    </w:p>
    <w:p>
      <w:pPr>
        <w:pStyle w:val="Compact"/>
        <w:numPr>
          <w:numId w:val="1004"/>
          <w:ilvl w:val="0"/>
        </w:numPr>
      </w:pPr>
      <w:r>
        <w:t xml:space="preserve">System scanning is managed by running the OpenSCAP vulnerability scanner using the DISA STIG profile.</w:t>
      </w:r>
    </w:p>
    <w:p>
      <w:pPr>
        <w:pStyle w:val="Compact"/>
        <w:numPr>
          <w:numId w:val="1004"/>
          <w:ilvl w:val="0"/>
        </w:numPr>
      </w:pPr>
      <w:r>
        <w:t xml:space="preserve">Log analysis is managed by feeding logs to a Graylog dashboard for analysis.</w:t>
      </w:r>
    </w:p>
    <w:p>
      <w:pPr>
        <w:pStyle w:val="Heading5"/>
      </w:pPr>
      <w:bookmarkStart w:id="48" w:name="drupal"/>
      <w:r>
        <w:t xml:space="preserve">Drupal</w:t>
      </w:r>
      <w:bookmarkEnd w:id="48"/>
    </w:p>
    <w:p>
      <w:pPr>
        <w:pStyle w:val="FirstParagraph"/>
      </w:pPr>
      <w:r>
        <w:t xml:space="preserve">CivicActions follows recommendations and best practices developed by the Drupal community for monitoring. Examples of specific logs and metrics are included in AU-2 and AU-3.</w:t>
      </w:r>
    </w:p>
    <w:p>
      <w:pPr>
        <w:pStyle w:val="Heading5"/>
      </w:pPr>
      <w:bookmarkStart w:id="49" w:name="ilias"/>
      <w:r>
        <w:t xml:space="preserve">Ilias</w:t>
      </w:r>
      <w:bookmarkEnd w:id="49"/>
    </w:p>
    <w:p>
      <w:pPr>
        <w:pStyle w:val="FirstParagraph"/>
      </w:pPr>
      <w:r>
        <w:t xml:space="preserve">CivicActions follows recommendations and best practices developed by the Ilias community for monitoring. Examples of specific logs and metrics are included in AU-2 and AU-3.</w:t>
      </w:r>
    </w:p>
    <w:p>
      <w:pPr>
        <w:pStyle w:val="Heading4"/>
      </w:pPr>
      <w:bookmarkStart w:id="50" w:name="b-1"/>
      <w:r>
        <w:t xml:space="preserve">b</w:t>
      </w:r>
      <w:bookmarkEnd w:id="50"/>
    </w:p>
    <w:p>
      <w:pPr>
        <w:pStyle w:val="Heading5"/>
      </w:pPr>
      <w:bookmarkStart w:id="51" w:name="civicactions-8"/>
      <w:r>
        <w:t xml:space="preserve">CivicActions</w:t>
      </w:r>
      <w:bookmarkEnd w:id="51"/>
    </w:p>
    <w:p>
      <w:pPr>
        <w:pStyle w:val="FirstParagraph"/>
      </w:pPr>
      <w:r>
        <w:t xml:space="preserve">Configuration management and log analysis is carried out in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the CivicActions Security Office.</w:t>
      </w:r>
    </w:p>
    <w:p>
      <w:pPr>
        <w:pStyle w:val="Heading4"/>
      </w:pPr>
      <w:bookmarkStart w:id="52" w:name="c-1"/>
      <w:r>
        <w:t xml:space="preserve">c</w:t>
      </w:r>
      <w:bookmarkEnd w:id="52"/>
    </w:p>
    <w:p>
      <w:pPr>
        <w:pStyle w:val="Heading5"/>
      </w:pPr>
      <w:bookmarkStart w:id="53" w:name="drupal-1"/>
      <w:r>
        <w:t xml:space="preserve">Drupal</w:t>
      </w:r>
      <w:bookmarkEnd w:id="53"/>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5"/>
      </w:pPr>
      <w:bookmarkStart w:id="54" w:name="ilias-1"/>
      <w:r>
        <w:t xml:space="preserve">Ilias</w:t>
      </w:r>
      <w:bookmarkEnd w:id="54"/>
    </w:p>
    <w:p>
      <w:pPr>
        <w:pStyle w:val="FirstParagraph"/>
      </w:pPr>
      <w:r>
        <w:t xml:space="preserve">CivicActions works closely with the Ilias security community and reviews security announcements as part of the continuous monitoring strategy. Items found to require immediate remediation will be addressed.</w:t>
      </w:r>
    </w:p>
    <w:p>
      <w:pPr>
        <w:pStyle w:val="Heading4"/>
      </w:pPr>
      <w:bookmarkStart w:id="55" w:name="d-1"/>
      <w:r>
        <w:t xml:space="preserve">d</w:t>
      </w:r>
      <w:bookmarkEnd w:id="55"/>
    </w:p>
    <w:p>
      <w:pPr>
        <w:pStyle w:val="Heading5"/>
      </w:pPr>
      <w:bookmarkStart w:id="56" w:name="civicactions-9"/>
      <w:r>
        <w:t xml:space="preserve">CivicActions</w:t>
      </w:r>
      <w:bookmarkEnd w:id="56"/>
    </w:p>
    <w:p>
      <w:pPr>
        <w:pStyle w:val="FirstParagraph"/>
      </w:pPr>
      <w:r>
        <w:t xml:space="preserve">CivicActions conducts or oversees continuous system security monitoring.</w:t>
      </w:r>
    </w:p>
    <w:p>
      <w:pPr>
        <w:pStyle w:val="Heading4"/>
      </w:pPr>
      <w:bookmarkStart w:id="57" w:name="e"/>
      <w:r>
        <w:t xml:space="preserve">e</w:t>
      </w:r>
      <w:bookmarkEnd w:id="57"/>
    </w:p>
    <w:p>
      <w:pPr>
        <w:pStyle w:val="Heading5"/>
      </w:pPr>
      <w:bookmarkStart w:id="58" w:name="civicactions-10"/>
      <w:r>
        <w:t xml:space="preserve">CivicActions</w:t>
      </w:r>
      <w:bookmarkEnd w:id="58"/>
    </w:p>
    <w:p>
      <w:pPr>
        <w:pStyle w:val="FirstParagraph"/>
      </w:pPr>
      <w:r>
        <w:t xml:space="preserve">CivicActions Security reviews the results of the security scans and security assessments with associated JIRA and/or GitLab Issue tickets created to correlate and analyze security-related information generated from the monitoring tools becoming POA&amp;M items for tracking.</w:t>
      </w:r>
    </w:p>
    <w:p>
      <w:pPr>
        <w:pStyle w:val="Heading4"/>
      </w:pPr>
      <w:bookmarkStart w:id="59" w:name="f"/>
      <w:r>
        <w:t xml:space="preserve">f</w:t>
      </w:r>
      <w:bookmarkEnd w:id="59"/>
    </w:p>
    <w:p>
      <w:pPr>
        <w:pStyle w:val="Heading5"/>
      </w:pPr>
      <w:bookmarkStart w:id="60" w:name="civicactions-11"/>
      <w:r>
        <w:t xml:space="preserve">CivicActions</w:t>
      </w:r>
      <w:bookmarkEnd w:id="60"/>
    </w:p>
    <w:p>
      <w:pPr>
        <w:pStyle w:val="FirstParagraph"/>
      </w:pPr>
      <w:r>
        <w:t xml:space="preserve">POA&amp;M items are tracked by CivicActions Security through JIRA tickets with a security categorization assigned. The information included in the POA&amp;M item include the severity, the due date, the weakness source identifier, and the plugin ID that identified the vulnerability.</w:t>
      </w:r>
    </w:p>
    <w:p>
      <w:pPr>
        <w:pStyle w:val="Heading4"/>
      </w:pPr>
      <w:bookmarkStart w:id="61" w:name="g"/>
      <w:r>
        <w:t xml:space="preserve">g</w:t>
      </w:r>
      <w:bookmarkEnd w:id="61"/>
    </w:p>
    <w:p>
      <w:pPr>
        <w:pStyle w:val="Heading5"/>
      </w:pPr>
      <w:bookmarkStart w:id="62" w:name="civicactions-12"/>
      <w:r>
        <w:t xml:space="preserve">CivicActions</w:t>
      </w:r>
      <w:bookmarkEnd w:id="62"/>
    </w:p>
    <w:p>
      <w:pPr>
        <w:pStyle w:val="FirstParagraph"/>
      </w:pPr>
      <w:r>
        <w:t xml:space="preserve">The security status of the system is reported up to the System Owner and Project Manager via the CivicActions Security Office to be reviewed alongside other security issues relating to the system.</w:t>
      </w:r>
    </w:p>
    <w:p>
      <w:pPr>
        <w:pStyle w:val="Heading3"/>
      </w:pPr>
      <w:bookmarkStart w:id="63" w:name="ca-9-internal-system-connections"/>
      <w:r>
        <w:t xml:space="preserve">CA-9: Internal System Connections</w:t>
      </w:r>
      <w:bookmarkEnd w:id="63"/>
    </w:p>
    <w:p>
      <w:pPr>
        <w:pStyle w:val="SourceCode"/>
      </w:pPr>
      <w:r>
        <w:rPr>
          <w:rStyle w:val="VerbatimChar"/>
        </w:rPr>
        <w:t xml:space="preserve">The organization:</w:t>
      </w:r>
      <w:r>
        <w:br w:type="textWrapping"/>
      </w:r>
      <w:r>
        <w:rPr>
          <w:rStyle w:val="VerbatimChar"/>
        </w:rPr>
        <w:t xml:space="preserve">  a.  Authorizes internal connections of [Assignment: organization-defined information</w:t>
      </w:r>
      <w:r>
        <w:br w:type="textWrapping"/>
      </w:r>
      <w:r>
        <w:rPr>
          <w:rStyle w:val="VerbatimChar"/>
        </w:rPr>
        <w:t xml:space="preserve">system components or classes of components] to the information system; and</w:t>
      </w:r>
      <w:r>
        <w:br w:type="textWrapping"/>
      </w:r>
      <w:r>
        <w:rPr>
          <w:rStyle w:val="VerbatimChar"/>
        </w:rPr>
        <w:t xml:space="preserve">  b.  Documents, for each internal connection, the interface characteristics,</w:t>
      </w:r>
      <w:r>
        <w:br w:type="textWrapping"/>
      </w:r>
      <w:r>
        <w:rPr>
          <w:rStyle w:val="VerbatimChar"/>
        </w:rPr>
        <w:t xml:space="preserve">security requirements, and the nature of the information communicated.</w:t>
      </w:r>
    </w:p>
    <w:p>
      <w:pPr>
        <w:pStyle w:val="FirstParagraph"/>
      </w:pPr>
      <w:r>
        <w:rPr>
          <w:b/>
        </w:rPr>
        <w:t xml:space="preserve">Status:</w:t>
      </w:r>
      <w:r>
        <w:t xml:space="preserve"> </w:t>
      </w:r>
      <w:r>
        <w:t xml:space="preserve">None</w:t>
      </w:r>
    </w:p>
    <w:p>
      <w:pPr>
        <w:pStyle w:val="Heading5"/>
      </w:pPr>
      <w:bookmarkStart w:id="64" w:name="civicactions-13"/>
      <w:r>
        <w:t xml:space="preserve">CivicActions</w:t>
      </w:r>
      <w:bookmarkEnd w:id="64"/>
    </w:p>
    <w:p>
      <w:pPr>
        <w:pStyle w:val="FirstParagraph"/>
      </w:pPr>
      <w:r>
        <w:t xml:space="preserve">Not applicable.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2020-04-29T22:55:17Z</dcterms:created>
  <dcterms:modified xsi:type="dcterms:W3CDTF">2020-04-29T22:55:17Z</dcterms:modified>
</cp:coreProperties>
</file>