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cp-1-contingency-planning-policy-and-procedures"/>
      <w:r>
        <w:t xml:space="preserve">CP-1: Contingency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contingency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contingency planning</w:t>
      </w:r>
      <w:r>
        <w:br w:type="textWrapping"/>
      </w:r>
      <w:r>
        <w:rPr>
          <w:rStyle w:val="VerbatimChar"/>
        </w:rPr>
        <w:t xml:space="preserve">policy and associated contingency planning controls; and</w:t>
      </w:r>
      <w:r>
        <w:br w:type="textWrapping"/>
      </w:r>
      <w:r>
        <w:rPr>
          <w:rStyle w:val="VerbatimChar"/>
        </w:rPr>
        <w:t xml:space="preserve">  b.  Reviews and updates the current:</w:t>
      </w:r>
      <w:r>
        <w:br w:type="textWrapping"/>
      </w:r>
      <w:r>
        <w:rPr>
          <w:rStyle w:val="VerbatimChar"/>
        </w:rPr>
        <w:t xml:space="preserve">    1.  Contingency planning policy [Assignment: organization-defined frequency];</w:t>
      </w:r>
      <w:r>
        <w:br w:type="textWrapping"/>
      </w:r>
      <w:r>
        <w:rPr>
          <w:rStyle w:val="VerbatimChar"/>
        </w:rPr>
        <w:t xml:space="preserve">and</w:t>
      </w:r>
      <w:r>
        <w:br w:type="textWrapping"/>
      </w:r>
      <w:r>
        <w:rPr>
          <w:rStyle w:val="VerbatimChar"/>
        </w:rPr>
        <w:t xml:space="preserve">    2.  Contingency planning procedures [Assignment: organization-defined 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TextBody"/>
      </w:pPr>
      <w:r>
        <w:t xml:space="preserve">The Project and has developed a contingency planning policy consistent with NIST 800-34. Contingency planning procedures are formally documented within the Project Contingency Plan, which provides the roles and responsibilities as it pertains to contingency planning. The Project reviews and updates the policy as necessary and the policy was last updated in July 2012.</w:t>
      </w:r>
    </w:p>
    <w:p>
      <w:pPr>
        <w:pStyle w:val="Heading3"/>
      </w:pPr>
      <w:bookmarkStart w:id="27" w:name="cp-2-contingency-plan"/>
      <w:r>
        <w:t xml:space="preserve">CP-2: Contingency Plan</w:t>
      </w:r>
      <w:bookmarkEnd w:id="27"/>
    </w:p>
    <w:p>
      <w:pPr>
        <w:pStyle w:val="SourceCode"/>
      </w:pPr>
      <w:r>
        <w:rPr>
          <w:rStyle w:val="VerbatimChar"/>
        </w:rPr>
        <w:t xml:space="preserve">The organization:</w:t>
      </w:r>
      <w:r>
        <w:br w:type="textWrapping"/>
      </w:r>
      <w:r>
        <w:rPr>
          <w:rStyle w:val="VerbatimChar"/>
        </w:rPr>
        <w:t xml:space="preserve">  a.  Develops a contingency plan for the information system that:</w:t>
      </w:r>
      <w:r>
        <w:br w:type="textWrapping"/>
      </w:r>
      <w:r>
        <w:rPr>
          <w:rStyle w:val="VerbatimChar"/>
        </w:rPr>
        <w:t xml:space="preserve">    1.  Identifies essential missions and business functions and associated contingency</w:t>
      </w:r>
      <w:r>
        <w:br w:type="textWrapping"/>
      </w:r>
      <w:r>
        <w:rPr>
          <w:rStyle w:val="VerbatimChar"/>
        </w:rPr>
        <w:t xml:space="preserve">requirements;</w:t>
      </w:r>
      <w:r>
        <w:br w:type="textWrapping"/>
      </w:r>
      <w:r>
        <w:rPr>
          <w:rStyle w:val="VerbatimChar"/>
        </w:rPr>
        <w:t xml:space="preserve">    2.  Provides recovery objectives, restoration priorities, and metrics;</w:t>
      </w:r>
      <w:r>
        <w:br w:type="textWrapping"/>
      </w:r>
      <w:r>
        <w:rPr>
          <w:rStyle w:val="VerbatimChar"/>
        </w:rPr>
        <w:t xml:space="preserve">    3.  Addresses contingency roles, responsibilities, assigned individuals with</w:t>
      </w:r>
      <w:r>
        <w:br w:type="textWrapping"/>
      </w:r>
      <w:r>
        <w:rPr>
          <w:rStyle w:val="VerbatimChar"/>
        </w:rPr>
        <w:t xml:space="preserve">contact information;</w:t>
      </w:r>
      <w:r>
        <w:br w:type="textWrapping"/>
      </w:r>
      <w:r>
        <w:rPr>
          <w:rStyle w:val="VerbatimChar"/>
        </w:rPr>
        <w:t xml:space="preserve">    4.  Addresses maintaining essential missions and business functions despite</w:t>
      </w:r>
      <w:r>
        <w:br w:type="textWrapping"/>
      </w:r>
      <w:r>
        <w:rPr>
          <w:rStyle w:val="VerbatimChar"/>
        </w:rPr>
        <w:t xml:space="preserve">an information system disruption, compromise, or failure;</w:t>
      </w:r>
      <w:r>
        <w:br w:type="textWrapping"/>
      </w:r>
      <w:r>
        <w:rPr>
          <w:rStyle w:val="VerbatimChar"/>
        </w:rPr>
        <w:t xml:space="preserve">    5.  Addresses eventual, full information system restoration without deterioration</w:t>
      </w:r>
      <w:r>
        <w:br w:type="textWrapping"/>
      </w:r>
      <w:r>
        <w:rPr>
          <w:rStyle w:val="VerbatimChar"/>
        </w:rPr>
        <w:t xml:space="preserve">of the security safeguards originally planned and implemented; and</w:t>
      </w:r>
      <w:r>
        <w:br w:type="textWrapping"/>
      </w:r>
      <w:r>
        <w:rPr>
          <w:rStyle w:val="VerbatimChar"/>
        </w:rPr>
        <w:t xml:space="preserve">    6.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contingency plan to [Assignment: organization-defined</w:t>
      </w:r>
      <w:r>
        <w:br w:type="textWrapping"/>
      </w:r>
      <w:r>
        <w:rPr>
          <w:rStyle w:val="VerbatimChar"/>
        </w:rPr>
        <w:t xml:space="preserve">key contingency personnel (identified by name and/or by role) and organizational elements];</w:t>
      </w:r>
      <w:r>
        <w:br w:type="textWrapping"/>
      </w:r>
      <w:r>
        <w:rPr>
          <w:rStyle w:val="VerbatimChar"/>
        </w:rPr>
        <w:t xml:space="preserve">  c.  Coordinates contingency planning activities with incident handling activities;</w:t>
      </w:r>
      <w:r>
        <w:br w:type="textWrapping"/>
      </w:r>
      <w:r>
        <w:rPr>
          <w:rStyle w:val="VerbatimChar"/>
        </w:rPr>
        <w:t xml:space="preserve">  d.  Reviews the contingency plan for the information system [Assignment: organization-defined</w:t>
      </w:r>
      <w:r>
        <w:br w:type="textWrapping"/>
      </w:r>
      <w:r>
        <w:rPr>
          <w:rStyle w:val="VerbatimChar"/>
        </w:rPr>
        <w:t xml:space="preserve">frequency];</w:t>
      </w:r>
      <w:r>
        <w:br w:type="textWrapping"/>
      </w:r>
      <w:r>
        <w:rPr>
          <w:rStyle w:val="VerbatimChar"/>
        </w:rPr>
        <w:t xml:space="preserve">  e.  Updates the contingency plan to address changes to the organization, information</w:t>
      </w:r>
      <w:r>
        <w:br w:type="textWrapping"/>
      </w:r>
      <w:r>
        <w:rPr>
          <w:rStyle w:val="VerbatimChar"/>
        </w:rPr>
        <w:t xml:space="preserve">system, or environment of operation and problems encountered during contingency plan implementation, execution, or testing;</w:t>
      </w:r>
      <w:r>
        <w:br w:type="textWrapping"/>
      </w:r>
      <w:r>
        <w:rPr>
          <w:rStyle w:val="VerbatimChar"/>
        </w:rPr>
        <w:t xml:space="preserve">  f.  Communicates contingency plan changes to [Assignment: organization-defined</w:t>
      </w:r>
      <w:r>
        <w:br w:type="textWrapping"/>
      </w:r>
      <w:r>
        <w:rPr>
          <w:rStyle w:val="VerbatimChar"/>
        </w:rPr>
        <w:t xml:space="preserve">key contingency personnel (identified by name and/or by role) and organizational elements]; and</w:t>
      </w:r>
      <w:r>
        <w:br w:type="textWrapping"/>
      </w:r>
      <w:r>
        <w:rPr>
          <w:rStyle w:val="VerbatimChar"/>
        </w:rPr>
        <w:t xml:space="preserve">  g.  Protects the contingency plan from unauthorized disclosure and modification.</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Information System Contingency Plan (ISCP) has been distributed to all CivicActions team members. The ISCP can be found in the CivicActions Handbook at</w:t>
      </w:r>
      <w:r>
        <w:t xml:space="preserve"> </w:t>
      </w:r>
      <w:hyperlink r:id="rId32">
        <w:r>
          <w:rPr>
            <w:rStyle w:val="InternetLink"/>
          </w:rPr>
          <w:t xml:space="preserve">https://handbook.civicactions.com/en/latest/100-security/contingency-plan/</w:t>
        </w:r>
      </w:hyperlink>
      <w:r>
        <w:t xml:space="preserve">.</w:t>
      </w:r>
    </w:p>
    <w:p>
      <w:pPr>
        <w:pStyle w:val="Heading5"/>
      </w:pPr>
      <w:bookmarkStart w:id="33" w:name="project-1"/>
      <w:r>
        <w:t xml:space="preserve">Project</w:t>
      </w:r>
      <w:bookmarkEnd w:id="33"/>
    </w:p>
    <w:p>
      <w:pPr>
        <w:pStyle w:val="FirstParagraph"/>
      </w:pPr>
      <w:r>
        <w:t xml:space="preserve">The Project Information System Contingency Plan (ISCP) has been distributed to all members who have roles in Contingency Planning and Incident Response Team. Direction by the System Owner will update who is required to receive a copy of the contingency plan. The ISCP can be found in the Project GitHub wiki at</w:t>
      </w:r>
      <w:r>
        <w:t xml:space="preserve"> </w:t>
      </w:r>
      <w:hyperlink r:id="rId32">
        <w:r>
          <w:rPr>
            <w:rStyle w:val="InternetLink"/>
          </w:rPr>
          <w:t xml:space="preserve">https://handbook.civicactions.com/en/latest/100-security/contingency-plan/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Office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SourceCode"/>
      </w:pPr>
      <w:r>
        <w:rPr>
          <w:rStyle w:val="VerbatimChar"/>
        </w:rPr>
        <w:t xml:space="preserve">The organization provides contingency training to information system users consistent with assigned roles and responsibilities:</w:t>
      </w:r>
      <w:r>
        <w:br w:type="textWrapping"/>
      </w:r>
      <w:r>
        <w:rPr>
          <w:rStyle w:val="VerbatimChar"/>
        </w:rPr>
        <w:t xml:space="preserve">  a.  Within [Assignment: organization-defined time period] of assuming a contingency</w:t>
      </w:r>
      <w:r>
        <w:br w:type="textWrapping"/>
      </w:r>
      <w:r>
        <w:rPr>
          <w:rStyle w:val="VerbatimChar"/>
        </w:rPr>
        <w:t xml:space="preserve">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Heading5"/>
      </w:pPr>
      <w:bookmarkStart w:id="45" w:name="civicactions-8"/>
      <w:r>
        <w:t xml:space="preserve">CivicActions</w:t>
      </w:r>
      <w:bookmarkEnd w:id="45"/>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6" w:name="cp-4-contingency-plan-testing"/>
      <w:r>
        <w:t xml:space="preserve">CP-4: Contingency Plan Testing</w:t>
      </w:r>
      <w:bookmarkEnd w:id="46"/>
    </w:p>
    <w:p>
      <w:pPr>
        <w:pStyle w:val="SourceCode"/>
      </w:pPr>
      <w:r>
        <w:rPr>
          <w:rStyle w:val="VerbatimChar"/>
        </w:rPr>
        <w:t xml:space="preserve">The organization:</w:t>
      </w:r>
      <w:r>
        <w:br w:type="textWrapping"/>
      </w:r>
      <w:r>
        <w:rPr>
          <w:rStyle w:val="VerbatimChar"/>
        </w:rPr>
        <w:t xml:space="preserve">  a.  Tests the contingency plan for the information system [Assignment: organization-defined</w:t>
      </w:r>
      <w:r>
        <w:br w:type="textWrapping"/>
      </w:r>
      <w:r>
        <w:rPr>
          <w:rStyle w:val="VerbatimChar"/>
        </w:rPr>
        <w:t xml:space="preserve">frequency] using [Assignment: organization-defined tests] to determine the effectiveness of the plan and the organizational readiness to execute the plan;</w:t>
      </w:r>
      <w:r>
        <w:br w:type="textWrapping"/>
      </w:r>
      <w:r>
        <w:rPr>
          <w:rStyle w:val="VerbatimChar"/>
        </w:rPr>
        <w:t xml:space="preserve">  b.  Reviews the contingency plan test results; and</w:t>
      </w:r>
      <w:r>
        <w:br w:type="textWrapping"/>
      </w:r>
      <w:r>
        <w:rPr>
          <w:rStyle w:val="VerbatimChar"/>
        </w:rPr>
        <w:t xml:space="preserve">  c.  Initiates corrective actions, if needed.</w:t>
      </w:r>
    </w:p>
    <w:p>
      <w:pPr>
        <w:pStyle w:val="Heading5"/>
      </w:pPr>
      <w:bookmarkStart w:id="47" w:name="civicactions-9"/>
      <w:r>
        <w:t xml:space="preserve">CivicActions</w:t>
      </w:r>
      <w:bookmarkEnd w:id="47"/>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48" w:name="cp-9-information-system-backup"/>
      <w:r>
        <w:t xml:space="preserve">CP-9: Information System Backup</w:t>
      </w:r>
      <w:bookmarkEnd w:id="48"/>
    </w:p>
    <w:p>
      <w:pPr>
        <w:pStyle w:val="SourceCode"/>
      </w:pPr>
      <w:r>
        <w:rPr>
          <w:rStyle w:val="VerbatimChar"/>
        </w:rPr>
        <w:t xml:space="preserve">The organization:</w:t>
      </w:r>
      <w:r>
        <w:br w:type="textWrapping"/>
      </w:r>
      <w:r>
        <w:rPr>
          <w:rStyle w:val="VerbatimChar"/>
        </w:rPr>
        <w:t xml:space="preserve">  a.  Conducts backups of user-level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b.  Conducts backups of system-level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c.  Conducts backups of information system documentation including security-related</w:t>
      </w:r>
      <w:r>
        <w:br w:type="textWrapping"/>
      </w:r>
      <w:r>
        <w:rPr>
          <w:rStyle w:val="VerbatimChar"/>
        </w:rPr>
        <w:t xml:space="preserve">documentation [Assignment: organization-defined frequency consistent with recovery time and recovery point objectives]; and</w:t>
      </w:r>
      <w:r>
        <w:br w:type="textWrapping"/>
      </w:r>
      <w:r>
        <w:rPr>
          <w:rStyle w:val="VerbatimChar"/>
        </w:rPr>
        <w:t xml:space="preserve">  d.  Protects the confidentiality, integrity, and availability of backup information</w:t>
      </w:r>
      <w:r>
        <w:br w:type="textWrapping"/>
      </w:r>
      <w:r>
        <w:rPr>
          <w:rStyle w:val="VerbatimChar"/>
        </w:rPr>
        <w:t xml:space="preserve">at storage locations.</w:t>
      </w:r>
    </w:p>
    <w:p>
      <w:pPr>
        <w:pStyle w:val="Heading4"/>
      </w:pPr>
      <w:bookmarkStart w:id="49" w:name="a-1"/>
      <w:r>
        <w:t xml:space="preserve">a</w:t>
      </w:r>
      <w:bookmarkEnd w:id="49"/>
    </w:p>
    <w:p>
      <w:pPr>
        <w:pStyle w:val="Heading5"/>
      </w:pPr>
      <w:bookmarkStart w:id="50" w:name="aws"/>
      <w:r>
        <w:t xml:space="preserve">AWS</w:t>
      </w:r>
      <w:bookmarkEnd w:id="50"/>
    </w:p>
    <w:p>
      <w:pPr>
        <w:pStyle w:val="FirstParagraph"/>
      </w:pPr>
      <w:r>
        <w:t xml:space="preserve">In this architecture, user data is limited to that which is stored in the Amazon RDS database. Amazon RDS is fully backed up by a daily snapshot as well as through transaction logging conducted by AWS as part of this managed service. Full database recovery from snapshot or point-in-time can be initiated from the Amazon RDS console/API.</w:t>
      </w:r>
    </w:p>
    <w:p>
      <w:pPr>
        <w:pStyle w:val="Heading5"/>
      </w:pPr>
      <w:bookmarkStart w:id="51" w:name="civicactions-10"/>
      <w:r>
        <w:t xml:space="preserve">CivicActions</w:t>
      </w:r>
      <w:bookmarkEnd w:id="51"/>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2" w:name="b-1"/>
      <w:r>
        <w:t xml:space="preserve">b</w:t>
      </w:r>
      <w:bookmarkEnd w:id="52"/>
    </w:p>
    <w:p>
      <w:pPr>
        <w:pStyle w:val="Heading5"/>
      </w:pPr>
      <w:bookmarkStart w:id="53" w:name="aws-1"/>
      <w:r>
        <w:t xml:space="preserve">AWS</w:t>
      </w:r>
      <w:bookmarkEnd w:id="53"/>
    </w:p>
    <w:p>
      <w:pPr>
        <w:pStyle w:val="FirstParagraph"/>
      </w:pPr>
      <w:r>
        <w:t xml:space="preserve">AWS built-in features automatically backs up system-level information limited to infrastructure CONFIGURATION information within the AWS account. While individual running Amazon EC2 instances and attached EBS volumes are NOT backed up, they can be reconstituted from Amazon Machine Images (AMIs) provided by AWS (which are backed up by AWS) and user data scripts included in CloudFormation templates. Once deployed, the CloudFormation template contents are backed up by AWS R488within the CloudFormation service. These AWS backups of AWS services are transparent to the customer as part of AWS backend processes.</w:t>
      </w:r>
    </w:p>
    <w:p>
      <w:pPr>
        <w:pStyle w:val="Heading5"/>
      </w:pPr>
      <w:bookmarkStart w:id="54" w:name="civicactions-11"/>
      <w:r>
        <w:t xml:space="preserve">CivicActions</w:t>
      </w:r>
      <w:bookmarkEnd w:id="54"/>
    </w:p>
    <w:p>
      <w:pPr>
        <w:pStyle w:val="FirstParagraph"/>
      </w:pPr>
      <w:r>
        <w:t xml:space="preserve">System-level information for the application is replicated and backed up in the same way as user-level information as defined in CP-9(a).</w:t>
      </w:r>
    </w:p>
    <w:p>
      <w:pPr>
        <w:pStyle w:val="Heading4"/>
      </w:pPr>
      <w:bookmarkStart w:id="55" w:name="c-1"/>
      <w:r>
        <w:t xml:space="preserve">c</w:t>
      </w:r>
      <w:bookmarkEnd w:id="55"/>
    </w:p>
    <w:p>
      <w:pPr>
        <w:pStyle w:val="Heading5"/>
      </w:pPr>
      <w:bookmarkStart w:id="56" w:name="aws-2"/>
      <w:r>
        <w:t xml:space="preserve">AWS</w:t>
      </w:r>
      <w:bookmarkEnd w:id="56"/>
    </w:p>
    <w:p>
      <w:pPr>
        <w:pStyle w:val="FirstParagraph"/>
      </w:pPr>
      <w:r>
        <w:t xml:space="preserve">AWS built-in features back up online administrator and developer documentation, limited to that which is published at https://aws.amazon.com/documentation.</w:t>
      </w:r>
    </w:p>
    <w:p>
      <w:pPr>
        <w:pStyle w:val="Heading5"/>
      </w:pPr>
      <w:bookmarkStart w:id="57" w:name="civicactions-12"/>
      <w:r>
        <w:t xml:space="preserve">CivicActions</w:t>
      </w:r>
      <w:bookmarkEnd w:id="57"/>
    </w:p>
    <w:p>
      <w:pPr>
        <w:pStyle w:val="FirstParagraph"/>
      </w:pPr>
      <w:r>
        <w:t xml:space="preserve">System documentation is backed up from the GitHub repository on a daily basis with a minimum two-week retention period and off-site storage.</w:t>
      </w:r>
    </w:p>
    <w:p>
      <w:pPr>
        <w:pStyle w:val="Heading4"/>
      </w:pPr>
      <w:bookmarkStart w:id="58" w:name="d-1"/>
      <w:r>
        <w:t xml:space="preserve">d</w:t>
      </w:r>
      <w:bookmarkEnd w:id="58"/>
    </w:p>
    <w:p>
      <w:pPr>
        <w:pStyle w:val="Heading5"/>
      </w:pPr>
      <w:bookmarkStart w:id="59" w:name="aws-3"/>
      <w:r>
        <w:t xml:space="preserve">AWS</w:t>
      </w:r>
      <w:bookmarkEnd w:id="59"/>
    </w:p>
    <w:p>
      <w:pPr>
        <w:pStyle w:val="FirstParagraph"/>
      </w:pPr>
      <w:r>
        <w:t xml:space="preserve">AWS built-in features protect the confidentiality, integrity, and availability of information that AWS services back up. This information includes the service configuration information within an account, AWS online administrator and developer documentation, and AWS CloudFormation stacks for templates once deployed into an account. R612</w:t>
      </w:r>
    </w:p>
    <w:p>
      <w:pPr>
        <w:pStyle w:val="Heading5"/>
      </w:pPr>
      <w:bookmarkStart w:id="60" w:name="civicactions-13"/>
      <w:r>
        <w:t xml:space="preserve">CivicActions</w:t>
      </w:r>
      <w:bookmarkEnd w:id="60"/>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1" w:name="cp-10-information-system-recovery-and-reconstitution"/>
      <w:r>
        <w:t xml:space="preserve">CP-10: Information System Recovery And Reconstitution</w:t>
      </w:r>
      <w:bookmarkEnd w:id="61"/>
    </w:p>
    <w:p>
      <w:pPr>
        <w:pStyle w:val="SourceCode"/>
      </w:pPr>
      <w:r>
        <w:rPr>
          <w:rStyle w:val="VerbatimChar"/>
        </w:rPr>
        <w:t xml:space="preserve">The organization provides for the recovery and reconstitution of the information system to a known state after a disruption, compromise, or failure.</w:t>
      </w:r>
    </w:p>
    <w:p>
      <w:pPr>
        <w:pStyle w:val="Heading5"/>
      </w:pPr>
      <w:bookmarkStart w:id="62" w:name="civicactions-14"/>
      <w:r>
        <w:t xml:space="preserve">CivicActions</w:t>
      </w:r>
      <w:bookmarkEnd w:id="62"/>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 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 Type="http://schemas.openxmlformats.org/officeDocument/2006/relationships/hyperlink" Id="rId32" Target="https://handbook.civicactions.com/en/latest/100-security/contingency-plan/"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 Type="http://schemas.openxmlformats.org/officeDocument/2006/relationships/hyperlink" Id="rId32" Target="https://handbook.civicactions.com/en/latest/100-security/contingency-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2023-03-23T20:29:05Z</dcterms:created>
  <dcterms:modified xsi:type="dcterms:W3CDTF">2023-03-23T20:29:05Z</dcterms:modified>
</cp:coreProperties>
</file>