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ip-individual-participation-and-redress"/>
      <w:r>
        <w:t xml:space="preserve">IP: Individual Participation and Redress</w:t>
      </w:r>
      <w:bookmarkEnd w:id="22"/>
    </w:p>
    <w:p>
      <w:pPr>
        <w:pStyle w:val="Heading3"/>
      </w:pPr>
      <w:bookmarkStart w:id="23" w:name="ip-1-consent"/>
      <w:r>
        <w:t xml:space="preserve">IP-1: CONSENT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Provides means, where feasible and appropriate, for individuals to</w:t>
      </w:r>
      <w:r>
        <w:t xml:space="preserve"> </w:t>
      </w:r>
      <w:r>
        <w:t xml:space="preserve">authorize the collection,</w:t>
      </w:r>
      <w:r>
        <w:t xml:space="preserve"> </w:t>
      </w:r>
      <w:r>
        <w:t xml:space="preserve">use, maintaining, and sharing of personally identifiable information</w:t>
      </w:r>
      <w:r>
        <w:t xml:space="preserve"> </w:t>
      </w:r>
      <w:r>
        <w:t xml:space="preserve">(PII) prior to its</w:t>
      </w:r>
      <w:r>
        <w:t xml:space="preserve"> </w:t>
      </w:r>
      <w:r>
        <w:t xml:space="preserve">collection;</w:t>
      </w:r>
      <w:r>
        <w:t xml:space="preserve"> </w:t>
      </w:r>
      <w:r>
        <w:t xml:space="preserve">b. Provides appropriate means for individuals to understand the consequences</w:t>
      </w:r>
      <w:r>
        <w:t xml:space="preserve"> </w:t>
      </w:r>
      <w:r>
        <w:t xml:space="preserve">of decisions to</w:t>
      </w:r>
      <w:r>
        <w:t xml:space="preserve"> </w:t>
      </w:r>
      <w:r>
        <w:t xml:space="preserve">approve or decline the authorization of the collection, use, dissemination,</w:t>
      </w:r>
      <w:r>
        <w:t xml:space="preserve"> </w:t>
      </w:r>
      <w:r>
        <w:t xml:space="preserve">and retention of PII;</w:t>
      </w:r>
      <w:r>
        <w:t xml:space="preserve"> </w:t>
      </w:r>
      <w:r>
        <w:t xml:space="preserve">c. Obtains consent, where feasible and appropriate, from individuals prior</w:t>
      </w:r>
      <w:r>
        <w:t xml:space="preserve"> </w:t>
      </w:r>
      <w:r>
        <w:t xml:space="preserve">to any new uses or</w:t>
      </w:r>
      <w:r>
        <w:t xml:space="preserve"> </w:t>
      </w:r>
      <w:r>
        <w:t xml:space="preserve">disclosure of previously collected PII; and</w:t>
      </w:r>
      <w:r>
        <w:t xml:space="preserve"> </w:t>
      </w:r>
      <w:r>
        <w:t xml:space="preserve">d. Ensures that individuals are aware of and, where feasible, consent</w:t>
      </w:r>
      <w:r>
        <w:t xml:space="preserve"> </w:t>
      </w:r>
      <w:r>
        <w:t xml:space="preserve">to all uses of PII not</w:t>
      </w:r>
      <w:r>
        <w:t xml:space="preserve"> </w:t>
      </w:r>
      <w:r>
        <w:t xml:space="preserve">initially described in the public notice that was in effect at the</w:t>
      </w:r>
      <w:r>
        <w:t xml:space="preserve"> </w:t>
      </w:r>
      <w:r>
        <w:t xml:space="preserve">time the organization collected</w:t>
      </w:r>
      <w:r>
        <w:t xml:space="preserve"> </w:t>
      </w:r>
      <w:r>
        <w:t xml:space="preserve">the PII.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5" w:name="ip-2-individual-access"/>
      <w:r>
        <w:t xml:space="preserve">IP-2: INDIVIDUAL ACCESS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Provides individuals the ability to have access to their personally identifiable information</w:t>
      </w:r>
      <w:r>
        <w:t xml:space="preserve"> </w:t>
      </w:r>
      <w:r>
        <w:t xml:space="preserve">(PII) maintained in its system(s) of records;</w:t>
      </w:r>
      <w:r>
        <w:t xml:space="preserve"> </w:t>
      </w:r>
      <w:r>
        <w:t xml:space="preserve">b. Publishes rules and regulations governing how individuals may request access to records</w:t>
      </w:r>
      <w:r>
        <w:t xml:space="preserve"> </w:t>
      </w:r>
      <w:r>
        <w:t xml:space="preserve">maintained in a Privacy Act system of records;</w:t>
      </w:r>
      <w:r>
        <w:t xml:space="preserve"> </w:t>
      </w:r>
      <w:r>
        <w:t xml:space="preserve">c. Publishes access procedures in System of Records Notices (SORNs); and</w:t>
      </w:r>
      <w:r>
        <w:t xml:space="preserve"> </w:t>
      </w:r>
      <w:r>
        <w:t xml:space="preserve">d. Adheres to Privacy Act requirements and OMB policies and guidance for the proper</w:t>
      </w:r>
      <w:r>
        <w:t xml:space="preserve"> </w:t>
      </w:r>
      <w:r>
        <w:t xml:space="preserve">processing of Privacy Act requests.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7" w:name="ip-3-redress"/>
      <w:r>
        <w:t xml:space="preserve">IP-3: REDRESS</w:t>
      </w:r>
      <w:bookmarkEnd w:id="27"/>
    </w:p>
    <w:p>
      <w:pPr>
        <w:pStyle w:val="BlockText"/>
      </w:pPr>
      <w:r>
        <w:t xml:space="preserve">“</w:t>
      </w:r>
      <w:r>
        <w:t xml:space="preserve">The organization: a. Provides a process for individuals to have inaccurate personally identifiable information (PII) maintained by the organization corrected or amended, as appropriate; and b. Establishes a process for disseminating corrections or amendments of the PII to other authorized users of the PII, such as external information-sharing partners and, where feasible and appropriate, notifies affected individuals that their information has been corrected or amended.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9" w:name="ip-4-complaint-management"/>
      <w:r>
        <w:t xml:space="preserve">IP-4: COMPLAINT MANAGEMENT</w:t>
      </w:r>
      <w:bookmarkEnd w:id="29"/>
    </w:p>
    <w:p>
      <w:pPr>
        <w:pStyle w:val="BlockText"/>
      </w:pPr>
      <w:r>
        <w:t xml:space="preserve">“</w:t>
      </w:r>
      <w:r>
        <w:t xml:space="preserve">The organization implements a process for receiving and responding to complaints,</w:t>
      </w:r>
      <w:r>
        <w:t xml:space="preserve"> </w:t>
      </w:r>
      <w:r>
        <w:t xml:space="preserve">concerns, or questions from individuals about the organizational privacy practices.</w:t>
      </w:r>
      <w:r>
        <w:t xml:space="preserve">”</w:t>
      </w:r>
    </w:p>
    <w:p>
      <w:pPr>
        <w:pStyle w:val="Heading5"/>
      </w:pPr>
      <w:bookmarkStart w:id="30" w:name="privacy-3"/>
      <w:r>
        <w:t xml:space="preserve">Privacy</w:t>
      </w:r>
      <w:bookmarkEnd w:id="30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2019-07-09T23:05:28Z</dcterms:created>
  <dcterms:modified xsi:type="dcterms:W3CDTF">2019-07-09T23:05:28Z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