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X5ca527eb4d842fd117dad3f62875c5a8e192820"/>
      <w:r>
        <w:t xml:space="preserve">IR-1: Incident Response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incident response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incident response policy</w:t>
      </w:r>
      <w:r>
        <w:t xml:space="preserve"> </w:t>
      </w:r>
      <w:r>
        <w:t xml:space="preserve">and associated incident response controls; and</w:t>
      </w:r>
      <w:r>
        <w:t xml:space="preserve"> </w:t>
      </w:r>
      <w:r>
        <w:t xml:space="preserve">b. Reviews and updates the current:</w:t>
      </w:r>
      <w:r>
        <w:t xml:space="preserve"> </w:t>
      </w:r>
      <w:r>
        <w:t xml:space="preserve">1. Incident response policy [Assignment: organization-defined frequency];</w:t>
      </w:r>
      <w:r>
        <w:t xml:space="preserve"> </w:t>
      </w:r>
      <w:r>
        <w:t xml:space="preserve">and</w:t>
      </w:r>
      <w:r>
        <w:t xml:space="preserve"> </w:t>
      </w:r>
      <w:r>
        <w:t xml:space="preserve">2. Incident response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maintains an Incident Response Plan (IRP), consistent with Department of Education Directives and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r>
        <w:t xml:space="preserve"> </w:t>
      </w: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r>
        <w:t xml:space="preserve"> </w:t>
      </w:r>
      <w:r>
        <w:t xml:space="preserve">The LINCS Incident Response Plan can be found in the CivicActions Github repository at</w:t>
      </w:r>
      <w:r>
        <w:t xml:space="preserve"> </w:t>
      </w:r>
      <w:hyperlink r:id="rId28">
        <w:r>
          <w:rPr>
            <w:rStyle w:val="Hyperlink"/>
          </w:rPr>
          <w:t xml:space="preserve">https://git.civicactions.net/lincs/compliance/blob/master/docs/security-irp.md</w:t>
        </w:r>
      </w:hyperlink>
      <w:r>
        <w:t xml:space="preserve"> </w:t>
      </w:r>
      <w:r>
        <w:t xml:space="preserve">Additional information is contained within the Department of Education, Handbook for Information Assurance Security Policy (Handbook OCIO-01) and the Department of Education, Handbook for Information Security Incident Response and Reporting Procedures (Handbook OCIO-14).</w:t>
      </w:r>
    </w:p>
    <w:p>
      <w:pPr>
        <w:pStyle w:val="Heading3"/>
      </w:pPr>
      <w:bookmarkStart w:id="29" w:name="ir-2-incident-response-training"/>
      <w:r>
        <w:t xml:space="preserve">IR-2: Incident Response Training</w:t>
      </w:r>
      <w:bookmarkEnd w:id="29"/>
    </w:p>
    <w:p>
      <w:pPr>
        <w:pStyle w:val="BlockText"/>
      </w:pPr>
      <w:r>
        <w:t xml:space="preserve">The organization provides incident response training to information system users consistent with assigned roles and responsibilities:</w:t>
      </w:r>
      <w:r>
        <w:t xml:space="preserve"> </w:t>
      </w:r>
      <w:r>
        <w:t xml:space="preserve">a. Within [Assignment: organization-defined time period] of assuming an incident</w:t>
      </w:r>
      <w:r>
        <w:t xml:space="preserve"> </w:t>
      </w:r>
      <w:r>
        <w:t xml:space="preserve">response 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30" w:name="aws-1"/>
      <w:r>
        <w:t xml:space="preserve">AWS</w:t>
      </w:r>
      <w:bookmarkEnd w:id="30"/>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31" w:name="civicactions-1"/>
      <w:r>
        <w:t xml:space="preserve">CivicActions</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32">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5"/>
      </w:pPr>
      <w:bookmarkStart w:id="33" w:name="lincs-1"/>
      <w:r>
        <w:t xml:space="preserve">LINCS</w:t>
      </w:r>
      <w:bookmarkEnd w:id="33"/>
    </w:p>
    <w:p>
      <w:pPr>
        <w:pStyle w:val="FirstParagraph"/>
      </w:pPr>
      <w:r>
        <w:t xml:space="preserve">CivicActions Operations and users of the LINCS system with incident response responsibilities are required to participate in incident response training once the role is assumed within 10 days, as required by LINCS changes, and annually. The Incident Response Plan (</w:t>
      </w:r>
      <w:hyperlink r:id="rId28">
        <w:r>
          <w:rPr>
            <w:rStyle w:val="Hyperlink"/>
          </w:rPr>
          <w:t xml:space="preserve">https://git.civicactions.net/lincs/compliance/blob/master/docs/security-irp.md</w:t>
        </w:r>
      </w:hyperlink>
      <w:r>
        <w:t xml:space="preserve">) is the basis for the training and the incident response workflow created by the Security team. Upon a review of past incidents, the training is updated to ensure processes and workflows are updated.</w:t>
      </w:r>
    </w:p>
    <w:p>
      <w:pPr>
        <w:pStyle w:val="Heading3"/>
      </w:pPr>
      <w:bookmarkStart w:id="34" w:name="ir-4-incident-handling"/>
      <w:r>
        <w:t xml:space="preserve">IR-4: Incident Handling</w:t>
      </w:r>
      <w:bookmarkEnd w:id="34"/>
    </w:p>
    <w:p>
      <w:pPr>
        <w:pStyle w:val="BlockText"/>
      </w:pPr>
      <w:r>
        <w:t xml:space="preserve">The organization:</w:t>
      </w:r>
      <w:r>
        <w:t xml:space="preserve"> </w:t>
      </w:r>
      <w:r>
        <w:t xml:space="preserve">a. Implements an incident handling capability for security incidents that includes</w:t>
      </w:r>
      <w:r>
        <w:t xml:space="preserve"> </w:t>
      </w:r>
      <w:r>
        <w:t xml:space="preserve">preparation, detection and analysis, containment, eradication, and recovery;</w:t>
      </w:r>
      <w:r>
        <w:t xml:space="preserve"> </w:t>
      </w:r>
      <w:r>
        <w:t xml:space="preserve">b. Coordinates incident handling activities with contingency planning activities;</w:t>
      </w:r>
      <w:r>
        <w:t xml:space="preserve"> </w:t>
      </w:r>
      <w:r>
        <w:t xml:space="preserve">and</w:t>
      </w:r>
      <w:r>
        <w:t xml:space="preserve"> </w:t>
      </w:r>
      <w:r>
        <w:t xml:space="preserve">c. Incorporates lessons learned from ongoing incident handling activities into</w:t>
      </w:r>
      <w:r>
        <w:t xml:space="preserve"> </w:t>
      </w:r>
      <w:r>
        <w:t xml:space="preserve">incident response procedures, training, and testing, and implements the resulting changes accordingly.</w:t>
      </w:r>
    </w:p>
    <w:p>
      <w:pPr>
        <w:pStyle w:val="Heading5"/>
      </w:pPr>
      <w:bookmarkStart w:id="35" w:name="aws-2"/>
      <w:r>
        <w:t xml:space="preserve">AWS</w:t>
      </w:r>
      <w:bookmarkEnd w:id="35"/>
    </w:p>
    <w:p>
      <w:pPr>
        <w:pStyle w:val="FirstParagraph"/>
      </w:pPr>
      <w:r>
        <w:t xml:space="preserve">The system partially inherits this control from the FedRAMP Provisional ATO granted to the AWS Cloud dated 1 May 2013 for the following: incident handling.</w:t>
      </w:r>
    </w:p>
    <w:p>
      <w:pPr>
        <w:pStyle w:val="Heading5"/>
      </w:pPr>
      <w:bookmarkStart w:id="36" w:name="lincs-2"/>
      <w:r>
        <w:t xml:space="preserve">LINCS</w:t>
      </w:r>
      <w:bookmarkEnd w:id="36"/>
    </w:p>
    <w:p>
      <w:pPr>
        <w:pStyle w:val="FirstParagraph"/>
      </w:pP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r>
        <w:t xml:space="preserve"> </w:t>
      </w:r>
      <w:r>
        <w:t xml:space="preserve">The LINCS Technology Project utilizes proven incident handling methodologies for security incidents that includes preparation, detection and analysis, containment, eradication, and recovery. The Department maintains a list of lessons learned from ongoing incident handling activities and uses those lessons to update the incident response procedures accordingly.</w:t>
      </w:r>
      <w:r>
        <w:t xml:space="preserve"> </w:t>
      </w:r>
      <w:r>
        <w:t xml:space="preserve">Preparation activities includes all CivicActions and LINCS internal users are trained if their role includes incident response. Detection monitoring tools providing notification to incident response personnel for analysis and action. Containment, eradication and recovery activities include AWS and LAMP-stack inherited fixes and LINCS system administrators adjusting IP port blocking security groups and SELinux policies.</w:t>
      </w:r>
    </w:p>
    <w:p>
      <w:pPr>
        <w:pStyle w:val="Heading4"/>
      </w:pPr>
      <w:bookmarkStart w:id="37" w:name="a"/>
      <w:r>
        <w:t xml:space="preserve">a</w:t>
      </w:r>
      <w:bookmarkEnd w:id="37"/>
    </w:p>
    <w:p>
      <w:pPr>
        <w:pStyle w:val="Heading5"/>
      </w:pPr>
      <w:bookmarkStart w:id="38" w:name="civicactions-2"/>
      <w:r>
        <w:t xml:space="preserve">CivicActions</w:t>
      </w:r>
      <w:bookmarkEnd w:id="38"/>
    </w:p>
    <w:p>
      <w:pPr>
        <w:pStyle w:val="FirstParagraph"/>
      </w:pPr>
      <w:r>
        <w:t xml:space="preserve">CivicActions has implemented an Incident Response Plan (</w:t>
      </w:r>
      <w:hyperlink r:id="rId32">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includes all CivicActions team members are trained in incident response. Detection and monitoring tools providing notification to incident response personnel for analysis and action.</w:t>
      </w:r>
    </w:p>
    <w:p>
      <w:pPr>
        <w:pStyle w:val="Heading4"/>
      </w:pPr>
      <w:bookmarkStart w:id="39" w:name="b"/>
      <w:r>
        <w:t xml:space="preserve">b</w:t>
      </w:r>
      <w:bookmarkEnd w:id="39"/>
    </w:p>
    <w:p>
      <w:pPr>
        <w:pStyle w:val="Heading5"/>
      </w:pPr>
      <w:bookmarkStart w:id="40" w:name="civicactions-3"/>
      <w:r>
        <w:t xml:space="preserve">CivicActions</w:t>
      </w:r>
      <w:bookmarkEnd w:id="40"/>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4"/>
      </w:pPr>
      <w:bookmarkStart w:id="41" w:name="c"/>
      <w:r>
        <w:t xml:space="preserve">c</w:t>
      </w:r>
      <w:bookmarkEnd w:id="41"/>
    </w:p>
    <w:p>
      <w:pPr>
        <w:pStyle w:val="Heading5"/>
      </w:pPr>
      <w:bookmarkStart w:id="42" w:name="civicactions-4"/>
      <w:r>
        <w:t xml:space="preserve">CivicActions</w:t>
      </w:r>
      <w:bookmarkEnd w:id="42"/>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2">
        <w:r>
          <w:rPr>
            <w:rStyle w:val="Hyperlink"/>
          </w:rPr>
          <w:t xml:space="preserve">https://civicactions-handbook.readthedocs.io/en/latest/09-security/incident-response-plan</w:t>
        </w:r>
      </w:hyperlink>
      <w:r>
        <w:t xml:space="preserve">) require a team review session for approval.</w:t>
      </w:r>
    </w:p>
    <w:p>
      <w:pPr>
        <w:pStyle w:val="Heading3"/>
      </w:pPr>
      <w:bookmarkStart w:id="43" w:name="ir-5-incident-monitoring"/>
      <w:r>
        <w:t xml:space="preserve">IR-5: Incident Monitoring</w:t>
      </w:r>
      <w:bookmarkEnd w:id="43"/>
    </w:p>
    <w:p>
      <w:pPr>
        <w:pStyle w:val="BlockText"/>
      </w:pPr>
      <w:r>
        <w:t xml:space="preserve">The organization tracks and documents information system security incidents.</w:t>
      </w:r>
    </w:p>
    <w:p>
      <w:pPr>
        <w:pStyle w:val="Heading5"/>
      </w:pPr>
      <w:bookmarkStart w:id="44" w:name="aws-3"/>
      <w:r>
        <w:t xml:space="preserve">AWS</w:t>
      </w:r>
      <w:bookmarkEnd w:id="44"/>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5" w:name="civicactions-5"/>
      <w:r>
        <w:t xml:space="preserve">CivicActions</w:t>
      </w:r>
      <w:bookmarkEnd w:id="45"/>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6">
        <w:r>
          <w:rPr>
            <w:rStyle w:val="Hyperlink"/>
          </w:rPr>
          <w:t xml:space="preserve">https://civicactions-handbook.readthedocs.io/en/latest/09-security/incident-response-plan/#response-process</w:t>
        </w:r>
      </w:hyperlink>
      <w:r>
        <w:t xml:space="preserve">) Response Process.</w:t>
      </w:r>
    </w:p>
    <w:p>
      <w:pPr>
        <w:pStyle w:val="Heading5"/>
      </w:pPr>
      <w:bookmarkStart w:id="47" w:name="lincs-3"/>
      <w:r>
        <w:t xml:space="preserve">LINCS</w:t>
      </w:r>
      <w:bookmarkEnd w:id="47"/>
    </w:p>
    <w:p>
      <w:pPr>
        <w:pStyle w:val="FirstParagraph"/>
      </w:pPr>
      <w:r>
        <w:t xml:space="preserve">The LINCS Technology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3"/>
      </w:pPr>
      <w:bookmarkStart w:id="48" w:name="ir-6-incident-reporting"/>
      <w:r>
        <w:t xml:space="preserve">IR-6: Incident Reporting</w:t>
      </w:r>
      <w:bookmarkEnd w:id="48"/>
    </w:p>
    <w:p>
      <w:pPr>
        <w:pStyle w:val="BlockText"/>
      </w:pPr>
      <w:r>
        <w:t xml:space="preserve">The organization:</w:t>
      </w:r>
      <w:r>
        <w:t xml:space="preserve"> </w:t>
      </w:r>
      <w:r>
        <w:t xml:space="preserve">a. Requires personnel to report suspected security incidents to the organizational</w:t>
      </w:r>
      <w:r>
        <w:t xml:space="preserve"> </w:t>
      </w:r>
      <w:r>
        <w:t xml:space="preserve">incident response capability within [Assignment: organization-defined time period]; and</w:t>
      </w:r>
      <w:r>
        <w:t xml:space="preserve"> </w:t>
      </w:r>
      <w:r>
        <w:t xml:space="preserve">b. Reports security incident information to [Assignment: organization-defined</w:t>
      </w:r>
      <w:r>
        <w:t xml:space="preserve"> </w:t>
      </w:r>
      <w:r>
        <w:t xml:space="preserve">authorities].</w:t>
      </w:r>
    </w:p>
    <w:p>
      <w:pPr>
        <w:pStyle w:val="Heading5"/>
      </w:pPr>
      <w:bookmarkStart w:id="49" w:name="aws-4"/>
      <w:r>
        <w:t xml:space="preserve">AWS</w:t>
      </w:r>
      <w:bookmarkEnd w:id="49"/>
    </w:p>
    <w:p>
      <w:pPr>
        <w:pStyle w:val="FirstParagraph"/>
      </w:pPr>
      <w:r>
        <w:t xml:space="preserve">The system partially inherits this control from the FedRAMP Provisional ATO granted to the AWS Cloud dated 1 May 2013 for the following: incident reporting.</w:t>
      </w:r>
    </w:p>
    <w:p>
      <w:pPr>
        <w:pStyle w:val="Heading5"/>
      </w:pPr>
      <w:bookmarkStart w:id="50" w:name="lincs-4"/>
      <w:r>
        <w:t xml:space="preserve">LINCS</w:t>
      </w:r>
      <w:bookmarkEnd w:id="50"/>
    </w:p>
    <w:p>
      <w:pPr>
        <w:pStyle w:val="FirstParagraph"/>
      </w:pPr>
      <w:r>
        <w:t xml:space="preserve">If an incident involves suspicious activity, CivicActions Operations will contact the LINCS System Owner who may then contact the LINCS CSO.</w:t>
      </w:r>
      <w:r>
        <w:t xml:space="preserve"> </w:t>
      </w:r>
      <w:r>
        <w:t xml:space="preserve">The LINCS Technology Project’s Computer Security Officer (CSO) handles all incidents for the LINCS Technology Project. The CSO is prepared to report all incidents to The Department Computer Incident Response Capability (EDCIRC) and United States Computer Emergency Readiness Team (US-CERT) as necessary.</w:t>
      </w:r>
    </w:p>
    <w:p>
      <w:pPr>
        <w:pStyle w:val="Heading4"/>
      </w:pPr>
      <w:bookmarkStart w:id="51" w:name="a-1"/>
      <w:r>
        <w:t xml:space="preserve">a</w:t>
      </w:r>
      <w:bookmarkEnd w:id="51"/>
    </w:p>
    <w:p>
      <w:pPr>
        <w:pStyle w:val="Heading5"/>
      </w:pPr>
      <w:bookmarkStart w:id="52" w:name="civicactions-6"/>
      <w:r>
        <w:t xml:space="preserve">CivicActions</w:t>
      </w:r>
      <w:bookmarkEnd w:id="52"/>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r>
        <w:t xml:space="preserve"> </w:t>
      </w:r>
      <w:r>
        <w:t xml:space="preserve">• Though continuous monitoring tools (StatusCake, OSSEC, others).</w:t>
      </w:r>
      <w:r>
        <w:t xml:space="preserve"> </w:t>
      </w:r>
      <w:r>
        <w:t xml:space="preserve">• As a result of application notifications where CivicActions Security receives notifications (AIDE, OpsGenie, others).</w:t>
      </w:r>
      <w:r>
        <w:t xml:space="preserve"> </w:t>
      </w:r>
      <w:r>
        <w:t xml:space="preserve">• Event logging described in AC-2</w:t>
      </w:r>
      <w:r>
        <w:t xml:space="preserve"> </w:t>
      </w:r>
      <w:r>
        <w:t xml:space="preserve">• Host based alerts from the cloud infrastructure or platform.</w:t>
      </w:r>
    </w:p>
    <w:p>
      <w:pPr>
        <w:pStyle w:val="Heading4"/>
      </w:pPr>
      <w:bookmarkStart w:id="53" w:name="b-1"/>
      <w:r>
        <w:t xml:space="preserve">b</w:t>
      </w:r>
      <w:bookmarkEnd w:id="53"/>
    </w:p>
    <w:p>
      <w:pPr>
        <w:pStyle w:val="Heading5"/>
      </w:pPr>
      <w:bookmarkStart w:id="54" w:name="civicactions-7"/>
      <w:r>
        <w:t xml:space="preserve">CivicActions</w:t>
      </w:r>
      <w:bookmarkEnd w:id="54"/>
    </w:p>
    <w:p>
      <w:pPr>
        <w:pStyle w:val="FirstParagraph"/>
      </w:pPr>
      <w:r>
        <w:t xml:space="preserve">CivicActions personnel, as soon as the incident event is detected and/or communicated, are required to report the incident event to CivicActions Security.</w:t>
      </w:r>
    </w:p>
    <w:p>
      <w:pPr>
        <w:pStyle w:val="Heading3"/>
      </w:pPr>
      <w:bookmarkStart w:id="55" w:name="ir-7-incident-response-assistance"/>
      <w:r>
        <w:t xml:space="preserve">IR-7: Incident Response Assistance</w:t>
      </w:r>
      <w:bookmarkEnd w:id="55"/>
    </w:p>
    <w:p>
      <w:pPr>
        <w:pStyle w:val="BlockText"/>
      </w:pPr>
      <w: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Heading5"/>
      </w:pPr>
      <w:bookmarkStart w:id="56" w:name="aws-5"/>
      <w:r>
        <w:t xml:space="preserve">AWS</w:t>
      </w:r>
      <w:bookmarkEnd w:id="56"/>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7" w:name="civicactions-8"/>
      <w:r>
        <w:t xml:space="preserve">CivicActions</w:t>
      </w:r>
      <w:bookmarkEnd w:id="57"/>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8" w:name="ir-8-incident-response-plan"/>
      <w:r>
        <w:t xml:space="preserve">IR-8: Incident Response Plan</w:t>
      </w:r>
      <w:bookmarkEnd w:id="58"/>
    </w:p>
    <w:p>
      <w:pPr>
        <w:pStyle w:val="BlockText"/>
      </w:pPr>
      <w:r>
        <w:t xml:space="preserve">The organization:</w:t>
      </w:r>
      <w:r>
        <w:t xml:space="preserve"> </w:t>
      </w:r>
      <w:r>
        <w:t xml:space="preserve">a. Develops an incident response plan that:</w:t>
      </w:r>
      <w:r>
        <w:t xml:space="preserve"> </w:t>
      </w:r>
      <w:r>
        <w:t xml:space="preserve">1. Provides the organization with a roadmap for implementing its incident</w:t>
      </w:r>
      <w:r>
        <w:t xml:space="preserve"> </w:t>
      </w:r>
      <w:r>
        <w:t xml:space="preserve">response capability;</w:t>
      </w:r>
      <w:r>
        <w:t xml:space="preserve"> </w:t>
      </w:r>
      <w:r>
        <w:t xml:space="preserve">2. Describes the structure and organization of the incident response capability;</w:t>
      </w:r>
      <w:r>
        <w:t xml:space="preserve"> </w:t>
      </w:r>
      <w:r>
        <w:t xml:space="preserve">3. Provides a high-level approach for how the incident response capability</w:t>
      </w:r>
      <w:r>
        <w:t xml:space="preserve"> </w:t>
      </w:r>
      <w:r>
        <w:t xml:space="preserve">fits into the overall organization;</w:t>
      </w:r>
      <w:r>
        <w:t xml:space="preserve"> </w:t>
      </w:r>
      <w:r>
        <w:t xml:space="preserve">4. Meets the unique requirements of the organization, which relate to mission,</w:t>
      </w:r>
      <w:r>
        <w:t xml:space="preserve"> </w:t>
      </w:r>
      <w:r>
        <w:t xml:space="preserve">size, structure, and functions;</w:t>
      </w:r>
      <w:r>
        <w:t xml:space="preserve"> </w:t>
      </w:r>
      <w:r>
        <w:t xml:space="preserve">5. Defines reportable incidents;</w:t>
      </w:r>
      <w:r>
        <w:t xml:space="preserve"> </w:t>
      </w:r>
      <w:r>
        <w:t xml:space="preserve">6. Provides metrics for measuring the incident response capability within</w:t>
      </w:r>
      <w:r>
        <w:t xml:space="preserve"> </w:t>
      </w:r>
      <w:r>
        <w:t xml:space="preserve">the organization;</w:t>
      </w:r>
      <w:r>
        <w:t xml:space="preserve"> </w:t>
      </w:r>
      <w:r>
        <w:t xml:space="preserve">7. Defines the resources and management support needed to effectively maintain</w:t>
      </w:r>
      <w:r>
        <w:t xml:space="preserve"> </w:t>
      </w:r>
      <w:r>
        <w:t xml:space="preserve">and mature an incident response capability; and</w:t>
      </w:r>
      <w:r>
        <w:t xml:space="preserve"> </w:t>
      </w:r>
      <w:r>
        <w:t xml:space="preserve">8. Is reviewed and approved by [Assignment: organization-defined personnel</w:t>
      </w:r>
      <w:r>
        <w:t xml:space="preserve"> </w:t>
      </w:r>
      <w:r>
        <w:t xml:space="preserve">or roles];</w:t>
      </w:r>
      <w:r>
        <w:t xml:space="preserve"> </w:t>
      </w:r>
      <w:r>
        <w:t xml:space="preserve">b. Distributes copies of the incident response plan to [Assignment: organization-defined</w:t>
      </w:r>
      <w:r>
        <w:t xml:space="preserve"> </w:t>
      </w:r>
      <w:r>
        <w:t xml:space="preserve">incident response personnel (identified by name and/or by role) and organizational elements];</w:t>
      </w:r>
      <w:r>
        <w:t xml:space="preserve"> </w:t>
      </w:r>
      <w:r>
        <w:t xml:space="preserve">c. Reviews the incident response plan [Assignment: organization-defined frequency];</w:t>
      </w:r>
      <w:r>
        <w:t xml:space="preserve"> </w:t>
      </w:r>
      <w:r>
        <w:t xml:space="preserve">d. Updates the incident response plan to address system/organizational changes</w:t>
      </w:r>
      <w:r>
        <w:t xml:space="preserve"> </w:t>
      </w:r>
      <w:r>
        <w:t xml:space="preserve">or problems encountered during plan implementation, execution, or testing;</w:t>
      </w:r>
      <w:r>
        <w:t xml:space="preserve"> </w:t>
      </w:r>
      <w:r>
        <w:t xml:space="preserve">e. Communicates incident response plan changes to [Assignment: organization-defined</w:t>
      </w:r>
      <w:r>
        <w:t xml:space="preserve"> </w:t>
      </w:r>
      <w:r>
        <w:t xml:space="preserve">incident response personnel (identified by name and/or by role) and organizational elements]; and</w:t>
      </w:r>
      <w:r>
        <w:t xml:space="preserve"> </w:t>
      </w:r>
      <w:r>
        <w:t xml:space="preserve">f. Protects the incident response plan from unauthorized disclosure and modification.</w:t>
      </w:r>
    </w:p>
    <w:p>
      <w:pPr>
        <w:pStyle w:val="Heading5"/>
      </w:pPr>
      <w:bookmarkStart w:id="59" w:name="aws-6"/>
      <w:r>
        <w:t xml:space="preserve">AWS</w:t>
      </w:r>
      <w:bookmarkEnd w:id="59"/>
    </w:p>
    <w:p>
      <w:pPr>
        <w:pStyle w:val="FirstParagraph"/>
      </w:pPr>
      <w:r>
        <w:t xml:space="preserve">The system partially inherits this control from the FedRAMP Provisional ATO granted to the AWS Cloud dated 1 May 2013 for the following: incident response plan.</w:t>
      </w:r>
    </w:p>
    <w:p>
      <w:pPr>
        <w:pStyle w:val="Heading5"/>
      </w:pPr>
      <w:bookmarkStart w:id="60" w:name="lincs-5"/>
      <w:r>
        <w:t xml:space="preserve">LINCS</w:t>
      </w:r>
      <w:bookmarkEnd w:id="60"/>
    </w:p>
    <w:p>
      <w:pPr>
        <w:pStyle w:val="FirstParagraph"/>
      </w:pPr>
      <w:r>
        <w:t xml:space="preserve">The LINCS Incident Response Plan (</w:t>
      </w:r>
      <w:hyperlink r:id="rId28">
        <w:r>
          <w:rPr>
            <w:rStyle w:val="Hyperlink"/>
          </w:rPr>
          <w:t xml:space="preserve">https://git.civicactions.net/lincs/compliance/blob/master/docs/security-irp.md</w:t>
        </w:r>
      </w:hyperlink>
      <w:r>
        <w:t xml:space="preserve">) includes a comprehensive incident response program, which details the implementation of procedures and tools required for incident handling. The incident response program details the roles and responsibilities of LINCS/CivicActions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1" w:name="a-2"/>
      <w:r>
        <w:t xml:space="preserve">a</w:t>
      </w:r>
      <w:bookmarkEnd w:id="61"/>
    </w:p>
    <w:p>
      <w:pPr>
        <w:pStyle w:val="Heading5"/>
      </w:pPr>
      <w:bookmarkStart w:id="62" w:name="civicactions-9"/>
      <w:r>
        <w:t xml:space="preserve">CivicActions</w:t>
      </w:r>
      <w:bookmarkEnd w:id="62"/>
    </w:p>
    <w:p>
      <w:pPr>
        <w:pStyle w:val="FirstParagraph"/>
      </w:pPr>
      <w:r>
        <w:t xml:space="preserve">Incident response plays a pivotal role in monitoring, detecting and handling security incidents of the entire information system. CivicActions has developed an Incident Response Plan (</w:t>
      </w:r>
      <w:hyperlink r:id="rId32">
        <w:r>
          <w:rPr>
            <w:rStyle w:val="Hyperlink"/>
          </w:rPr>
          <w:t xml:space="preserve">https://civicactions-handbook.readthedocs.io/en/latest/09-security/incident-response-plan</w:t>
        </w:r>
      </w:hyperlink>
      <w:r>
        <w:t xml:space="preserve">) that:</w:t>
      </w:r>
      <w:r>
        <w:t xml:space="preserve"> </w:t>
      </w:r>
      <w:r>
        <w:t xml:space="preserve">1. provides CivicActions with procedures and tools required for incident handling;</w:t>
      </w:r>
      <w:r>
        <w:t xml:space="preserve"> </w:t>
      </w:r>
      <w:r>
        <w:t xml:space="preserve">2. describes the structure and organization of the incident response capability;</w:t>
      </w:r>
      <w:r>
        <w:t xml:space="preserve"> </w:t>
      </w:r>
      <w:r>
        <w:t xml:space="preserve">3. provides a high-level approach for how the incident response capability fits into CivicActions and the systems it maintains;</w:t>
      </w:r>
      <w:r>
        <w:t xml:space="preserve"> </w:t>
      </w:r>
      <w:r>
        <w:t xml:space="preserve">4. meets the mission, size, structure, and functions of CivicActions;</w:t>
      </w:r>
      <w:r>
        <w:t xml:space="preserve"> </w:t>
      </w:r>
      <w:r>
        <w:t xml:space="preserve">5. defines reportable incidents;</w:t>
      </w:r>
      <w:r>
        <w:t xml:space="preserve"> </w:t>
      </w:r>
      <w:r>
        <w:t xml:space="preserve">6. provides metrics for measuring the incident response capability and details</w:t>
      </w:r>
      <w:r>
        <w:t xml:space="preserve"> </w:t>
      </w:r>
      <w:r>
        <w:t xml:space="preserve">categorization of incidents in accordance with NIST 800-61;</w:t>
      </w:r>
    </w:p>
    <w:p>
      <w:pPr>
        <w:pStyle w:val="Compact"/>
        <w:numPr>
          <w:numId w:val="1001"/>
          <w:ilvl w:val="0"/>
        </w:numPr>
      </w:pPr>
      <w:r>
        <w:t xml:space="preserve">defines the roles and responsibilities of CivicActions IR Team;</w:t>
      </w:r>
    </w:p>
    <w:p>
      <w:pPr>
        <w:pStyle w:val="Compact"/>
        <w:numPr>
          <w:numId w:val="1001"/>
          <w:ilvl w:val="0"/>
        </w:numPr>
      </w:pPr>
      <w:r>
        <w:t xml:space="preserve">is reviewed annually and updated as needed by CivicActions Security, with the assistance of the Incident Response team.</w:t>
      </w:r>
    </w:p>
    <w:p>
      <w:pPr>
        <w:pStyle w:val="Heading4"/>
      </w:pPr>
      <w:bookmarkStart w:id="63" w:name="b-2"/>
      <w:r>
        <w:t xml:space="preserve">b</w:t>
      </w:r>
      <w:bookmarkEnd w:id="63"/>
    </w:p>
    <w:p>
      <w:pPr>
        <w:pStyle w:val="Heading5"/>
      </w:pPr>
      <w:bookmarkStart w:id="64" w:name="civicactions-10"/>
      <w:r>
        <w:t xml:space="preserve">CivicActions</w:t>
      </w:r>
      <w:bookmarkEnd w:id="64"/>
    </w:p>
    <w:p>
      <w:pPr>
        <w:pStyle w:val="FirstParagraph"/>
      </w:pPr>
      <w:r>
        <w:t xml:space="preserve">The CivicActions Incident Response Plan is distributed to all CivicActions team</w:t>
      </w:r>
      <w:r>
        <w:t xml:space="preserve"> </w:t>
      </w:r>
      <w:r>
        <w:t xml:space="preserve">members as part of the CivicActions Handbook</w:t>
      </w:r>
      <w:r>
        <w:t xml:space="preserve"> </w:t>
      </w:r>
      <w:r>
        <w:t xml:space="preserve">(</w:t>
      </w:r>
      <w:hyperlink r:id="rId32">
        <w:r>
          <w:rPr>
            <w:rStyle w:val="Hyperlink"/>
          </w:rPr>
          <w:t xml:space="preserve">https://civicactions-handbook.readthedocs.io/en/latest/09-security/incident-response-plan</w:t>
        </w:r>
      </w:hyperlink>
      <w:r>
        <w:t xml:space="preserve">).</w:t>
      </w:r>
      <w:r>
        <w:t xml:space="preserve"> </w:t>
      </w:r>
      <w:r>
        <w:t xml:space="preserve">The Incident Response team includes members from Security, Engineering, and Drupal</w:t>
      </w:r>
      <w:r>
        <w:t xml:space="preserve"> </w:t>
      </w:r>
      <w:r>
        <w:t xml:space="preserve">Engineering teams.</w:t>
      </w:r>
    </w:p>
    <w:p>
      <w:pPr>
        <w:pStyle w:val="Heading4"/>
      </w:pPr>
      <w:bookmarkStart w:id="65" w:name="c-1"/>
      <w:r>
        <w:t xml:space="preserve">c</w:t>
      </w:r>
      <w:bookmarkEnd w:id="65"/>
    </w:p>
    <w:p>
      <w:pPr>
        <w:pStyle w:val="Heading5"/>
      </w:pPr>
      <w:bookmarkStart w:id="66" w:name="civicactions-11"/>
      <w:r>
        <w:t xml:space="preserve">CivicActions</w:t>
      </w:r>
      <w:bookmarkEnd w:id="66"/>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4"/>
      </w:pPr>
      <w:bookmarkStart w:id="67" w:name="d"/>
      <w:r>
        <w:t xml:space="preserve">d</w:t>
      </w:r>
      <w:bookmarkEnd w:id="67"/>
    </w:p>
    <w:p>
      <w:pPr>
        <w:pStyle w:val="Heading5"/>
      </w:pPr>
      <w:bookmarkStart w:id="68" w:name="civicactions-12"/>
      <w:r>
        <w:t xml:space="preserve">CivicActions</w:t>
      </w:r>
      <w:bookmarkEnd w:id="68"/>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9" w:name="e"/>
      <w:r>
        <w:t xml:space="preserve">e</w:t>
      </w:r>
      <w:bookmarkEnd w:id="69"/>
    </w:p>
    <w:p>
      <w:pPr>
        <w:pStyle w:val="Heading5"/>
      </w:pPr>
      <w:bookmarkStart w:id="70" w:name="civicactions-13"/>
      <w:r>
        <w:t xml:space="preserve">CivicActions</w:t>
      </w:r>
      <w:bookmarkEnd w:id="70"/>
    </w:p>
    <w:p>
      <w:pPr>
        <w:pStyle w:val="FirstParagraph"/>
      </w:pPr>
      <w:r>
        <w:t xml:space="preserve">Modifications to the IR Plan are conducted by the IR team (CivicActions Security, Operations and Engineering teams) and communicated to the CivicActions team.</w:t>
      </w:r>
    </w:p>
    <w:p>
      <w:pPr>
        <w:pStyle w:val="Heading4"/>
      </w:pPr>
      <w:bookmarkStart w:id="71" w:name="f"/>
      <w:r>
        <w:t xml:space="preserve">f</w:t>
      </w:r>
      <w:bookmarkEnd w:id="71"/>
    </w:p>
    <w:p>
      <w:pPr>
        <w:pStyle w:val="Heading5"/>
      </w:pPr>
      <w:bookmarkStart w:id="72" w:name="civicactions-14"/>
      <w:r>
        <w:t xml:space="preserve">CivicActions</w:t>
      </w:r>
      <w:bookmarkEnd w:id="72"/>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7">
    <w:nsid w:val="ea454b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6" Target="https://civicactions-handbook.readthedocs.io/en/latest/09-security/incident-response-plan/#response-process" TargetMode="External" /><Relationship Type="http://schemas.openxmlformats.org/officeDocument/2006/relationships/hyperlink" Id="rId28"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2" Target="https://civicactions-handbook.readthedocs.io/en/latest/09-security/incident-response-plan" TargetMode="External" /><Relationship Type="http://schemas.openxmlformats.org/officeDocument/2006/relationships/hyperlink" Id="rId46" Target="https://civicactions-handbook.readthedocs.io/en/latest/09-security/incident-response-plan/#response-process" TargetMode="External" /><Relationship Type="http://schemas.openxmlformats.org/officeDocument/2006/relationships/hyperlink" Id="rId28" Target="https://git.civicactions.net/lincs/compliance/blob/master/docs/security-irp.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2019-02-28T21:58:48Z</dcterms:created>
  <dcterms:modified xsi:type="dcterms:W3CDTF">2019-02-28T21:58:48Z</dcterms:modified>
</cp:coreProperties>
</file>

<file path=docProps/custom.xml><?xml version="1.0" encoding="utf-8"?>
<Properties xmlns="http://schemas.openxmlformats.org/officeDocument/2006/custom-properties" xmlns:vt="http://schemas.openxmlformats.org/officeDocument/2006/docPropsVTypes"/>
</file>