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in collaboration with CivicActions Security.</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describes their responsibilities and expected behavior with regard to information and information system usage. These rules, defined as the Acceptable Use Policy, are included in the CivicActions Security Policy accessible here :</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is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