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ersonnel-security"/>
      <w:r>
        <w:t xml:space="preserve">PERSONNEL SECURITY</w:t>
      </w:r>
      <w:bookmarkEnd w:id="20"/>
    </w:p>
    <w:p>
      <w:pPr>
        <w:pStyle w:val="Heading2"/>
      </w:pPr>
      <w:bookmarkStart w:id="21" w:name="ps-01-personnel-security-policy-and-procedures"/>
      <w:r>
        <w:t xml:space="preserve">PS-01 PERSONNEL SECURITY POLICY AND PROCEDURES</w:t>
      </w:r>
      <w:bookmarkEnd w:id="21"/>
    </w:p>
    <w:p>
      <w:pPr>
        <w:pStyle w:val="BlockText"/>
      </w:pPr>
      <w:r>
        <w:t xml:space="preserve">Control description:</w:t>
      </w:r>
      <w:r>
        <w:t xml:space="preserve"> </w:t>
      </w:r>
      <w:hyperlink r:id="rId22">
        <w:r>
          <w:rPr>
            <w:rStyle w:val="Hyperlink"/>
          </w:rPr>
          <w:t xml:space="preserve">http://800-53.govready.com/control?id=PS-1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s-02-position-risk-designation"/>
      <w:r>
        <w:t xml:space="preserve">PS-02 POSITION RISK DESIGNATION</w:t>
      </w:r>
      <w:bookmarkEnd w:id="27"/>
    </w:p>
    <w:p>
      <w:pPr>
        <w:pStyle w:val="BlockText"/>
      </w:pPr>
      <w:r>
        <w:t xml:space="preserve">Control description:</w:t>
      </w:r>
      <w:r>
        <w:t xml:space="preserve"> </w:t>
      </w:r>
      <w:hyperlink r:id="rId28">
        <w:r>
          <w:rPr>
            <w:rStyle w:val="Hyperlink"/>
          </w:rPr>
          <w:t xml:space="preserve">http://800-53.govready.com/control?id=PS-2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p>
    <w:p>
      <w:pPr>
        <w:numPr>
          <w:numId w:val="1001"/>
          <w:ilvl w:val="0"/>
        </w:numPr>
      </w:pPr>
      <w:r>
        <w:t xml:space="preserve">Employee risk levels and background investigations are: Low Risk= NACI, Moderate Risk= LBI, High Risk= BI.</w:t>
      </w:r>
    </w:p>
    <w:p>
      <w:pPr>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BodyText"/>
      </w:pPr>
      <w:r>
        <w:t xml:space="preserve">This is Agency common control. More data about implementation can be obtained from the Agency common control catalog</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3"/>
      </w:pPr>
      <w:bookmarkStart w:id="34" w:name="part-c"/>
      <w:r>
        <w:t xml:space="preserve">Part c)</w:t>
      </w:r>
      <w:bookmarkEnd w:id="34"/>
    </w:p>
    <w:p>
      <w:pPr>
        <w:pStyle w:val="Heading4"/>
      </w:pPr>
      <w:bookmarkStart w:id="35" w:name="civicactions-responsibility-3"/>
      <w:r>
        <w:t xml:space="preserve">CivicActions Responsibility</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2"/>
      </w:pPr>
      <w:bookmarkStart w:id="36" w:name="ps-03-personnel-screening"/>
      <w:r>
        <w:t xml:space="preserve">PS-03 PERSONNEL SCREENING</w:t>
      </w:r>
      <w:bookmarkEnd w:id="36"/>
    </w:p>
    <w:p>
      <w:pPr>
        <w:pStyle w:val="BlockText"/>
      </w:pPr>
      <w:r>
        <w:t xml:space="preserve">Control description:</w:t>
      </w:r>
      <w:r>
        <w:t xml:space="preserve"> </w:t>
      </w:r>
      <w:hyperlink r:id="rId37">
        <w:r>
          <w:rPr>
            <w:rStyle w:val="Hyperlink"/>
          </w:rPr>
          <w:t xml:space="preserve">http://800-53.govready.com/control?id=PS-3</w:t>
        </w:r>
      </w:hyperlink>
    </w:p>
    <w:p>
      <w:pPr>
        <w:pStyle w:val="BlockText"/>
      </w:pPr>
      <w:r>
        <w:t xml:space="preserve">Security control type: Hybrid</w:t>
      </w:r>
    </w:p>
    <w:p>
      <w:pPr>
        <w:pStyle w:val="Heading4"/>
      </w:pPr>
      <w:bookmarkStart w:id="38" w:name="lincs-specific-control-or-lincs-responsibility-2"/>
      <w:r>
        <w:t xml:space="preserve">LINCS specific control or LINCS Responsibility</w:t>
      </w:r>
      <w:bookmarkEnd w:id="38"/>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p>
    <w:p>
      <w:pPr>
        <w:pStyle w:val="BodyText"/>
      </w:pPr>
      <w:r>
        <w:t xml:space="preserve">This is Agency common control. More data about implementation can be obtained from the Agency common control catalog.</w:t>
      </w:r>
    </w:p>
    <w:p>
      <w:pPr>
        <w:pStyle w:val="Heading3"/>
      </w:pPr>
      <w:bookmarkStart w:id="39" w:name="part-a-1"/>
      <w:r>
        <w:t xml:space="preserve">Part a)</w:t>
      </w:r>
      <w:bookmarkEnd w:id="39"/>
    </w:p>
    <w:p>
      <w:pPr>
        <w:pStyle w:val="Heading4"/>
      </w:pPr>
      <w:bookmarkStart w:id="40" w:name="civicactions-responsibility-4"/>
      <w:r>
        <w:t xml:space="preserve">CivicActions Responsibility</w:t>
      </w:r>
      <w:bookmarkEnd w:id="40"/>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3"/>
      </w:pPr>
      <w:bookmarkStart w:id="41" w:name="part-b-1"/>
      <w:r>
        <w:t xml:space="preserve">Part b)</w:t>
      </w:r>
      <w:bookmarkEnd w:id="41"/>
    </w:p>
    <w:p>
      <w:pPr>
        <w:pStyle w:val="Heading4"/>
      </w:pPr>
      <w:bookmarkStart w:id="42" w:name="civicactions-responsibility-5"/>
      <w:r>
        <w:t xml:space="preserve">CivicActions Responsibility</w:t>
      </w:r>
      <w:bookmarkEnd w:id="42"/>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2"/>
      </w:pPr>
      <w:bookmarkStart w:id="43" w:name="ps-04-personnel-termination"/>
      <w:r>
        <w:t xml:space="preserve">PS-04 PERSONNEL TERMINATION</w:t>
      </w:r>
      <w:bookmarkEnd w:id="43"/>
    </w:p>
    <w:p>
      <w:pPr>
        <w:pStyle w:val="BlockText"/>
      </w:pPr>
      <w:r>
        <w:t xml:space="preserve">Control description:</w:t>
      </w:r>
      <w:r>
        <w:t xml:space="preserve"> </w:t>
      </w:r>
      <w:hyperlink r:id="rId44">
        <w:r>
          <w:rPr>
            <w:rStyle w:val="Hyperlink"/>
          </w:rPr>
          <w:t xml:space="preserve">http://800-53.govready.com/control?id=PS-4</w:t>
        </w:r>
      </w:hyperlink>
    </w:p>
    <w:p>
      <w:pPr>
        <w:pStyle w:val="BlockText"/>
      </w:pPr>
      <w:r>
        <w:t xml:space="preserve">Security control type: Hybrid</w:t>
      </w:r>
    </w:p>
    <w:p>
      <w:pPr>
        <w:pStyle w:val="Heading4"/>
      </w:pPr>
      <w:bookmarkStart w:id="45" w:name="lincs-specific-control-or-lincs-responsibility-3"/>
      <w:r>
        <w:t xml:space="preserve">LINCS specific control or LINCS Responsibility</w:t>
      </w:r>
      <w:bookmarkEnd w:id="45"/>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BodyText"/>
      </w:pPr>
      <w:r>
        <w:t xml:space="preserve">This is Agency common control. More data about implementation can be obtained from the Agency common control catalog.</w:t>
      </w:r>
    </w:p>
    <w:p>
      <w:pPr>
        <w:pStyle w:val="Heading3"/>
      </w:pPr>
      <w:bookmarkStart w:id="46" w:name="part-a-2"/>
      <w:r>
        <w:t xml:space="preserve">Part a)</w:t>
      </w:r>
      <w:bookmarkEnd w:id="46"/>
    </w:p>
    <w:p>
      <w:pPr>
        <w:pStyle w:val="Heading4"/>
      </w:pPr>
      <w:bookmarkStart w:id="47" w:name="civicactions-responsibility-6"/>
      <w:r>
        <w:t xml:space="preserve">CivicActions Responsibility</w:t>
      </w:r>
      <w:bookmarkEnd w:id="47"/>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p>
    <w:p>
      <w:pPr>
        <w:pStyle w:val="BodyText"/>
      </w:pP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3"/>
      </w:pPr>
      <w:bookmarkStart w:id="48" w:name="part-b-2"/>
      <w:r>
        <w:t xml:space="preserve">Part b)</w:t>
      </w:r>
      <w:bookmarkEnd w:id="48"/>
    </w:p>
    <w:p>
      <w:pPr>
        <w:pStyle w:val="Heading4"/>
      </w:pPr>
      <w:bookmarkStart w:id="49" w:name="civicactions-responsibility-7"/>
      <w:r>
        <w:t xml:space="preserve">CivicActions Responsibility</w:t>
      </w:r>
      <w:bookmarkEnd w:id="49"/>
    </w:p>
    <w:p>
      <w:pPr>
        <w:pStyle w:val="FirstParagraph"/>
      </w:pPr>
      <w:r>
        <w:t xml:space="preserve">The terminated user’s accounts are disabled and all access associated with the individual is revoked.</w:t>
      </w:r>
    </w:p>
    <w:p>
      <w:pPr>
        <w:pStyle w:val="Heading3"/>
      </w:pPr>
      <w:bookmarkStart w:id="50" w:name="part-c-1"/>
      <w:r>
        <w:t xml:space="preserve">Part c)</w:t>
      </w:r>
      <w:bookmarkEnd w:id="50"/>
    </w:p>
    <w:p>
      <w:pPr>
        <w:pStyle w:val="Heading4"/>
      </w:pPr>
      <w:bookmarkStart w:id="51" w:name="civicactions-responsibility-8"/>
      <w:r>
        <w:t xml:space="preserve">CivicActions Responsibility</w:t>
      </w:r>
      <w:bookmarkEnd w:id="51"/>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3"/>
      </w:pPr>
      <w:bookmarkStart w:id="52" w:name="part-d"/>
      <w:r>
        <w:t xml:space="preserve">Part d)</w:t>
      </w:r>
      <w:bookmarkEnd w:id="52"/>
    </w:p>
    <w:p>
      <w:pPr>
        <w:pStyle w:val="Heading4"/>
      </w:pPr>
      <w:bookmarkStart w:id="53" w:name="civicactions-responsibility-9"/>
      <w:r>
        <w:t xml:space="preserve">CivicActions Responsibility</w:t>
      </w:r>
      <w:bookmarkEnd w:id="53"/>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p>
    <w:p>
      <w:pPr>
        <w:pStyle w:val="BodyText"/>
      </w:pPr>
      <w:r>
        <w:t xml:space="preserve">Some employees may receive company-issued hardware for working on poarticular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3"/>
      </w:pPr>
      <w:bookmarkStart w:id="54" w:name="part-e"/>
      <w:r>
        <w:t xml:space="preserve">Part e)</w:t>
      </w:r>
      <w:bookmarkEnd w:id="54"/>
    </w:p>
    <w:p>
      <w:pPr>
        <w:pStyle w:val="Heading4"/>
      </w:pPr>
      <w:bookmarkStart w:id="55" w:name="civicactions-responsibility-10"/>
      <w:r>
        <w:t xml:space="preserve">CivicActions Responsibility</w:t>
      </w:r>
      <w:bookmarkEnd w:id="55"/>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3"/>
      </w:pPr>
      <w:bookmarkStart w:id="56" w:name="part-f"/>
      <w:r>
        <w:t xml:space="preserve">Part f)</w:t>
      </w:r>
      <w:bookmarkEnd w:id="56"/>
    </w:p>
    <w:p>
      <w:pPr>
        <w:pStyle w:val="Heading4"/>
      </w:pPr>
      <w:bookmarkStart w:id="57" w:name="civicactions-responsibility-11"/>
      <w:r>
        <w:t xml:space="preserve">CivicActions Responsibility</w:t>
      </w:r>
      <w:bookmarkEnd w:id="57"/>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2"/>
      </w:pPr>
      <w:bookmarkStart w:id="58" w:name="ps-05-personnel-transfer"/>
      <w:r>
        <w:t xml:space="preserve">PS-05 PERSONNEL TRANSFER</w:t>
      </w:r>
      <w:bookmarkEnd w:id="58"/>
    </w:p>
    <w:p>
      <w:pPr>
        <w:pStyle w:val="BlockText"/>
      </w:pPr>
      <w:r>
        <w:t xml:space="preserve">Control description:</w:t>
      </w:r>
      <w:r>
        <w:t xml:space="preserve"> </w:t>
      </w:r>
      <w:hyperlink r:id="rId59">
        <w:r>
          <w:rPr>
            <w:rStyle w:val="Hyperlink"/>
          </w:rPr>
          <w:t xml:space="preserve">http://800-53.govready.com/control?id=PS-5</w:t>
        </w:r>
      </w:hyperlink>
    </w:p>
    <w:p>
      <w:pPr>
        <w:pStyle w:val="BlockText"/>
      </w:pPr>
      <w:r>
        <w:t xml:space="preserve">Security control type: Hybrid</w:t>
      </w:r>
    </w:p>
    <w:p>
      <w:pPr>
        <w:pStyle w:val="Heading4"/>
      </w:pPr>
      <w:bookmarkStart w:id="60" w:name="lincs-specific-control-or-lincs-responsibility-4"/>
      <w:r>
        <w:t xml:space="preserve">LINCS specific control or LINCS Responsibility</w:t>
      </w:r>
      <w:bookmarkEnd w:id="60"/>
    </w:p>
    <w:p>
      <w:pPr>
        <w:pStyle w:val="FirstParagraph"/>
      </w:pPr>
      <w:r>
        <w:t xml:space="preserve">When an employee is reassigned or transferred, the employee’s manager or designated official is required to request transfer of access (as appropriate) for the user.</w:t>
      </w:r>
    </w:p>
    <w:p>
      <w:pPr>
        <w:pStyle w:val="BodyText"/>
      </w:pP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BodyText"/>
      </w:pPr>
      <w:r>
        <w:t xml:space="preserve">This is Agency common control. More data about implementation can be obtained from the Agency common control catalog.</w:t>
      </w:r>
    </w:p>
    <w:p>
      <w:pPr>
        <w:pStyle w:val="Heading3"/>
      </w:pPr>
      <w:bookmarkStart w:id="61" w:name="part-a-3"/>
      <w:r>
        <w:t xml:space="preserve">Part a)</w:t>
      </w:r>
      <w:bookmarkEnd w:id="61"/>
    </w:p>
    <w:p>
      <w:pPr>
        <w:pStyle w:val="Heading4"/>
      </w:pPr>
      <w:bookmarkStart w:id="62" w:name="civicactions-responsibility-12"/>
      <w:r>
        <w:t xml:space="preserve">CivicActions Responsibility</w:t>
      </w:r>
      <w:bookmarkEnd w:id="62"/>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(AC-02) and least privilege (AC-06),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3"/>
      </w:pPr>
      <w:bookmarkStart w:id="63" w:name="part-b-3"/>
      <w:r>
        <w:t xml:space="preserve">Part b)</w:t>
      </w:r>
      <w:bookmarkEnd w:id="63"/>
    </w:p>
    <w:p>
      <w:pPr>
        <w:pStyle w:val="Heading4"/>
      </w:pPr>
      <w:bookmarkStart w:id="64" w:name="civicactions-responsibility-13"/>
      <w:r>
        <w:t xml:space="preserve">CivicActions Responsibility</w:t>
      </w:r>
      <w:bookmarkEnd w:id="64"/>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3"/>
      </w:pPr>
      <w:bookmarkStart w:id="65" w:name="part-c-2"/>
      <w:r>
        <w:t xml:space="preserve">Part c)</w:t>
      </w:r>
      <w:bookmarkEnd w:id="65"/>
    </w:p>
    <w:p>
      <w:pPr>
        <w:pStyle w:val="Heading4"/>
      </w:pPr>
      <w:bookmarkStart w:id="66" w:name="civicactions-responsibility-14"/>
      <w:r>
        <w:t xml:space="preserve">CivicActions Responsibility</w:t>
      </w:r>
      <w:bookmarkEnd w:id="66"/>
    </w:p>
    <w:p>
      <w:pPr>
        <w:pStyle w:val="FirstParagraph"/>
      </w:pPr>
      <w:r>
        <w:t xml:space="preserve">Access authorizations are modified as needed to coincide with changes in duties or operational need upon personnel transfer or reassignment.</w:t>
      </w:r>
    </w:p>
    <w:p>
      <w:pPr>
        <w:pStyle w:val="Heading3"/>
      </w:pPr>
      <w:bookmarkStart w:id="67" w:name="part-d-1"/>
      <w:r>
        <w:t xml:space="preserve">Part d)</w:t>
      </w:r>
      <w:bookmarkEnd w:id="67"/>
    </w:p>
    <w:p>
      <w:pPr>
        <w:pStyle w:val="Heading4"/>
      </w:pPr>
      <w:bookmarkStart w:id="68" w:name="civicactions-responsibility-15"/>
      <w:r>
        <w:t xml:space="preserve">CivicActions Responsibility</w:t>
      </w:r>
      <w:bookmarkEnd w:id="68"/>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2"/>
      </w:pPr>
      <w:bookmarkStart w:id="69" w:name="ps-06-access-agreements"/>
      <w:r>
        <w:t xml:space="preserve">PS-06 ACCESS AGREEMENTS</w:t>
      </w:r>
      <w:bookmarkEnd w:id="69"/>
    </w:p>
    <w:p>
      <w:pPr>
        <w:pStyle w:val="BlockText"/>
      </w:pPr>
      <w:r>
        <w:t xml:space="preserve">Control description:</w:t>
      </w:r>
      <w:r>
        <w:t xml:space="preserve"> </w:t>
      </w:r>
      <w:hyperlink r:id="rId70">
        <w:r>
          <w:rPr>
            <w:rStyle w:val="Hyperlink"/>
          </w:rPr>
          <w:t xml:space="preserve">http://800-53.govready.com/control?id=PS-6</w:t>
        </w:r>
      </w:hyperlink>
    </w:p>
    <w:p>
      <w:pPr>
        <w:pStyle w:val="BlockText"/>
      </w:pPr>
      <w:r>
        <w:t xml:space="preserve">Security control type: Hybrid</w:t>
      </w:r>
    </w:p>
    <w:p>
      <w:pPr>
        <w:pStyle w:val="Heading4"/>
      </w:pPr>
      <w:bookmarkStart w:id="71" w:name="lincs-specific-control-or-lincs-responsibility-5"/>
      <w:r>
        <w:t xml:space="preserve">LINCS specific control or LINCS Responsibility</w:t>
      </w:r>
      <w:bookmarkEnd w:id="71"/>
    </w:p>
    <w:p>
      <w:pPr>
        <w:pStyle w:val="FirstParagraph"/>
      </w:pPr>
      <w:r>
        <w:t xml:space="preserve">The Department has implemented a formalized process for user account administration using the approved and signed Rules of Behavior and User Acknowledgement forms. All new users requesting access to the LINCS Technology Project system must complete these forms and the security manager will keep them on file and reviewed bi-annually.</w:t>
      </w:r>
    </w:p>
    <w:p>
      <w:pPr>
        <w:pStyle w:val="Heading3"/>
      </w:pPr>
      <w:bookmarkStart w:id="72" w:name="part-a-4"/>
      <w:r>
        <w:t xml:space="preserve">Part a)</w:t>
      </w:r>
      <w:bookmarkEnd w:id="72"/>
    </w:p>
    <w:p>
      <w:pPr>
        <w:pStyle w:val="Heading4"/>
      </w:pPr>
      <w:bookmarkStart w:id="73" w:name="civicactions-responsibility-16"/>
      <w:r>
        <w:t xml:space="preserve">CivicActions Responsibility</w:t>
      </w:r>
      <w:bookmarkEnd w:id="73"/>
    </w:p>
    <w:p>
      <w:pPr>
        <w:pStyle w:val="FirstParagraph"/>
      </w:pPr>
      <w:r>
        <w:t xml:space="preserve">CivicActions has developed and documented an Acceptable Use Policy that covers access and use of all CivicActiuons systems.</w:t>
      </w:r>
    </w:p>
    <w:p>
      <w:pPr>
        <w:pStyle w:val="Heading3"/>
      </w:pPr>
      <w:bookmarkStart w:id="74" w:name="part-b-4"/>
      <w:r>
        <w:t xml:space="preserve">Part b)</w:t>
      </w:r>
      <w:bookmarkEnd w:id="74"/>
    </w:p>
    <w:p>
      <w:pPr>
        <w:pStyle w:val="Heading4"/>
      </w:pPr>
      <w:bookmarkStart w:id="75" w:name="civicactions-responsibility-17"/>
      <w:r>
        <w:t xml:space="preserve">CivicActions Responsibility</w:t>
      </w:r>
      <w:bookmarkEnd w:id="75"/>
    </w:p>
    <w:p>
      <w:pPr>
        <w:pStyle w:val="FirstParagraph"/>
      </w:pPr>
      <w:r>
        <w:t xml:space="preserve">The Acceptable Use Policy is reviewed at least annually or when a significant change occurs. In the event that a major update is made to the Acceptable Use Policy, employees are required to read and sign the updated policy document and Human Resources stores the information.</w:t>
      </w:r>
    </w:p>
    <w:p>
      <w:pPr>
        <w:pStyle w:val="Heading3"/>
      </w:pPr>
      <w:bookmarkStart w:id="76" w:name="part-c-3"/>
      <w:r>
        <w:t xml:space="preserve">Part c)</w:t>
      </w:r>
      <w:bookmarkEnd w:id="76"/>
    </w:p>
    <w:p>
      <w:pPr>
        <w:pStyle w:val="Heading4"/>
      </w:pPr>
      <w:bookmarkStart w:id="77" w:name="civicactions-responsibility-18"/>
      <w:r>
        <w:t xml:space="preserve">CivicActions Responsibility</w:t>
      </w:r>
      <w:bookmarkEnd w:id="77"/>
    </w:p>
    <w:p>
      <w:pPr>
        <w:pStyle w:val="FirstParagraph"/>
      </w:pPr>
      <w:r>
        <w:t xml:space="preserve">All CivicActions team members are required to read and sign the Acceptable Use Policy (AUP) provided in the Security Policy document prior to gaining access to the any CivicActions system. The acknowledgment signature page is a separate document collected and recorded by the Director of Human Resources.</w:t>
      </w:r>
    </w:p>
    <w:p>
      <w:pPr>
        <w:pStyle w:val="Heading2"/>
      </w:pPr>
      <w:bookmarkStart w:id="78" w:name="ps-07-third-party-personnel-security"/>
      <w:r>
        <w:t xml:space="preserve">PS-07 THIRD-PARTY PERSONNEL SECURITY</w:t>
      </w:r>
      <w:bookmarkEnd w:id="78"/>
    </w:p>
    <w:p>
      <w:pPr>
        <w:pStyle w:val="BlockText"/>
      </w:pPr>
      <w:r>
        <w:t xml:space="preserve">Control description:</w:t>
      </w:r>
      <w:r>
        <w:t xml:space="preserve"> </w:t>
      </w:r>
      <w:hyperlink r:id="rId79">
        <w:r>
          <w:rPr>
            <w:rStyle w:val="Hyperlink"/>
          </w:rPr>
          <w:t xml:space="preserve">http://800-53.govready.com/control?id=PS-7</w:t>
        </w:r>
      </w:hyperlink>
    </w:p>
    <w:p>
      <w:pPr>
        <w:pStyle w:val="BlockText"/>
      </w:pPr>
      <w:r>
        <w:t xml:space="preserve">Security control type: Hybrid</w:t>
      </w:r>
    </w:p>
    <w:p>
      <w:pPr>
        <w:pStyle w:val="Heading4"/>
      </w:pPr>
      <w:bookmarkStart w:id="80" w:name="lincs-specific-control-or-lincs-responsibility-6"/>
      <w:r>
        <w:t xml:space="preserve">LINCS specific control or LINCS Responsibility</w:t>
      </w:r>
      <w:bookmarkEnd w:id="80"/>
    </w:p>
    <w:p>
      <w:pPr>
        <w:pStyle w:val="FirstParagraph"/>
      </w:pPr>
      <w:r>
        <w:t xml:space="preserve">All contractor support personnel are required to meet the same personnel security policy requirements as Department personnel who have privileged access to the LINCS Technology Project system. Third party providers are required to review and sign the Rules of Behavior prior to being granted access to the system.</w:t>
      </w:r>
    </w:p>
    <w:p>
      <w:pPr>
        <w:pStyle w:val="Heading3"/>
      </w:pPr>
      <w:bookmarkStart w:id="81" w:name="part-a-5"/>
      <w:r>
        <w:t xml:space="preserve">Part a)</w:t>
      </w:r>
      <w:bookmarkEnd w:id="81"/>
    </w:p>
    <w:p>
      <w:pPr>
        <w:pStyle w:val="Heading4"/>
      </w:pPr>
      <w:bookmarkStart w:id="82" w:name="civicactions-responsibility-19"/>
      <w:r>
        <w:t xml:space="preserve">CivicActions Responsibility</w:t>
      </w:r>
      <w:bookmarkEnd w:id="82"/>
    </w:p>
    <w:p>
      <w:pPr>
        <w:pStyle w:val="FirstParagraph"/>
      </w:pPr>
      <w:r>
        <w:t xml:space="preserve">Third party personnel are required to following the same process and requirements as CivicActions employees.</w:t>
      </w:r>
    </w:p>
    <w:p>
      <w:pPr>
        <w:pStyle w:val="Heading3"/>
      </w:pPr>
      <w:bookmarkStart w:id="83" w:name="part-b-5"/>
      <w:r>
        <w:t xml:space="preserve">Part b)</w:t>
      </w:r>
      <w:bookmarkEnd w:id="83"/>
    </w:p>
    <w:p>
      <w:pPr>
        <w:pStyle w:val="Heading4"/>
      </w:pPr>
      <w:bookmarkStart w:id="84" w:name="civicactions-responsibility-20"/>
      <w:r>
        <w:t xml:space="preserve">CivicActions Responsibility</w:t>
      </w:r>
      <w:bookmarkEnd w:id="84"/>
    </w:p>
    <w:p>
      <w:pPr>
        <w:pStyle w:val="FirstParagraph"/>
      </w:pPr>
      <w:r>
        <w:t xml:space="preserve">Third party personnel are required to following the same process and requirements as CivicActions employees. CivicActions Operations or Security may require that a background check be conducted on contractors and / or third party users in cases where they will have access to application data that is not meant to be consumed by the public.</w:t>
      </w:r>
    </w:p>
    <w:p>
      <w:pPr>
        <w:pStyle w:val="Heading3"/>
      </w:pPr>
      <w:bookmarkStart w:id="85" w:name="part-c-4"/>
      <w:r>
        <w:t xml:space="preserve">Part c)</w:t>
      </w:r>
      <w:bookmarkEnd w:id="85"/>
    </w:p>
    <w:p>
      <w:pPr>
        <w:pStyle w:val="Heading4"/>
      </w:pPr>
      <w:bookmarkStart w:id="86" w:name="civicactions-responsibility-21"/>
      <w:r>
        <w:t xml:space="preserve">CivicActions Responsibility</w:t>
      </w:r>
      <w:bookmarkEnd w:id="86"/>
    </w:p>
    <w:p>
      <w:pPr>
        <w:pStyle w:val="FirstParagraph"/>
      </w:pPr>
      <w:r>
        <w:t xml:space="preserve">All personnel security requirements are documented and include things such as signing the Acceptable Use Policy (AUP) and taking security awareness training.</w:t>
      </w:r>
    </w:p>
    <w:p>
      <w:pPr>
        <w:pStyle w:val="Heading3"/>
      </w:pPr>
      <w:bookmarkStart w:id="87" w:name="part-d-2"/>
      <w:r>
        <w:t xml:space="preserve">Part d)</w:t>
      </w:r>
      <w:bookmarkEnd w:id="87"/>
    </w:p>
    <w:p>
      <w:pPr>
        <w:pStyle w:val="Heading4"/>
      </w:pPr>
      <w:bookmarkStart w:id="88" w:name="civicactions-responsibility-22"/>
      <w:r>
        <w:t xml:space="preserve">CivicActions Responsibility</w:t>
      </w:r>
      <w:bookmarkEnd w:id="88"/>
    </w:p>
    <w:p>
      <w:pPr>
        <w:pStyle w:val="FirstParagraph"/>
      </w:pPr>
      <w:r>
        <w:t xml:space="preserve">For personnel transfers and terminations of third-party personnel with access to the CivicActions systems, third parties must notify the CivicActions Operations an/or Director of Human Resources the same day. The same employee transfer and/or termination procedure(s) are folloed as if the third party personnel were CivicActions employees.</w:t>
      </w:r>
    </w:p>
    <w:p>
      <w:pPr>
        <w:pStyle w:val="Heading3"/>
      </w:pPr>
      <w:bookmarkStart w:id="89" w:name="part-e-1"/>
      <w:r>
        <w:t xml:space="preserve">Part e)</w:t>
      </w:r>
      <w:bookmarkEnd w:id="89"/>
    </w:p>
    <w:p>
      <w:pPr>
        <w:pStyle w:val="Heading4"/>
      </w:pPr>
      <w:bookmarkStart w:id="90" w:name="civicactions-responsibility-23"/>
      <w:r>
        <w:t xml:space="preserve">CivicActions Responsibility</w:t>
      </w:r>
      <w:bookmarkEnd w:id="90"/>
    </w:p>
    <w:p>
      <w:pPr>
        <w:pStyle w:val="FirstParagraph"/>
      </w:pPr>
      <w:r>
        <w:t xml:space="preserve">Compliance measures for assessing third-party personnel and/or contractors are determined on a case-by-case basis. CivicActions Security is responsible for coordinating with the managers of external systems to include appropriate and tailored compliance verification language in contracts as required. Third-party personnel are continuously monitored to ensure compliance with personnel security requirements.</w:t>
      </w:r>
    </w:p>
    <w:p>
      <w:pPr>
        <w:pStyle w:val="Heading2"/>
      </w:pPr>
      <w:bookmarkStart w:id="91" w:name="ps-08-personnel-sanctions"/>
      <w:r>
        <w:t xml:space="preserve">PS-08 PERSONNEL SANCTIONS</w:t>
      </w:r>
      <w:bookmarkEnd w:id="91"/>
    </w:p>
    <w:p>
      <w:pPr>
        <w:pStyle w:val="BlockText"/>
      </w:pPr>
      <w:r>
        <w:t xml:space="preserve">Control description:</w:t>
      </w:r>
      <w:r>
        <w:t xml:space="preserve"> </w:t>
      </w:r>
      <w:hyperlink r:id="rId92">
        <w:r>
          <w:rPr>
            <w:rStyle w:val="Hyperlink"/>
          </w:rPr>
          <w:t xml:space="preserve">http://800-53.govready.com/control?id=PS-8</w:t>
        </w:r>
      </w:hyperlink>
    </w:p>
    <w:p>
      <w:pPr>
        <w:pStyle w:val="BlockText"/>
      </w:pPr>
      <w:r>
        <w:t xml:space="preserve">Security control type: Hybrid</w:t>
      </w:r>
    </w:p>
    <w:p>
      <w:pPr>
        <w:pStyle w:val="Heading4"/>
      </w:pPr>
      <w:bookmarkStart w:id="93" w:name="lincs-specific-control-or-lincs-responsibility-7"/>
      <w:r>
        <w:t xml:space="preserve">LINCS specific control or LINCS Responsibility</w:t>
      </w:r>
      <w:bookmarkEnd w:id="93"/>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3"/>
      </w:pPr>
      <w:bookmarkStart w:id="94" w:name="part-a-6"/>
      <w:r>
        <w:t xml:space="preserve">Part a)</w:t>
      </w:r>
      <w:bookmarkEnd w:id="94"/>
    </w:p>
    <w:p>
      <w:pPr>
        <w:pStyle w:val="Heading4"/>
      </w:pPr>
      <w:bookmarkStart w:id="95" w:name="civicactions-responsibility-24"/>
      <w:r>
        <w:t xml:space="preserve">CivicActions Responsibility</w:t>
      </w:r>
      <w:bookmarkEnd w:id="95"/>
    </w:p>
    <w:p>
      <w:pPr>
        <w:pStyle w:val="FirstParagraph"/>
      </w:pPr>
      <w:r>
        <w:t xml:space="preserve">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3"/>
      </w:pPr>
      <w:bookmarkStart w:id="96" w:name="part-b-6"/>
      <w:r>
        <w:t xml:space="preserve">Part b)</w:t>
      </w:r>
      <w:bookmarkEnd w:id="96"/>
    </w:p>
    <w:p>
      <w:pPr>
        <w:pStyle w:val="Heading4"/>
      </w:pPr>
      <w:bookmarkStart w:id="97" w:name="civicactions-responsibility-25"/>
      <w:r>
        <w:t xml:space="preserve">CivicActions Responsibility</w:t>
      </w:r>
      <w:bookmarkEnd w:id="97"/>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2018-12-05T22:52:15Z</dcterms:created>
  <dcterms:modified xsi:type="dcterms:W3CDTF">2018-12-05T22:52:15Z</dcterms:modified>
</cp:coreProperties>
</file>

<file path=docProps/custom.xml><?xml version="1.0" encoding="utf-8"?>
<Properties xmlns="http://schemas.openxmlformats.org/officeDocument/2006/custom-properties" xmlns:vt="http://schemas.openxmlformats.org/officeDocument/2006/docPropsVTypes"/>
</file>