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ra-5-vulnerability-scanning"/>
      <w:r>
        <w:t xml:space="preserve">RA-5: Vulnerability Scanning</w:t>
      </w:r>
      <w:bookmarkEnd w:id="27"/>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vulnerability scanning.</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Identified and reported vulnerabilities are assigned an impact rating and response time by CivicActions Security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2019-07-09T18:53:13Z</dcterms:created>
  <dcterms:modified xsi:type="dcterms:W3CDTF">2019-07-09T18:53:13Z</dcterms:modified>
</cp:coreProperties>
</file>

<file path=docProps/custom.xml><?xml version="1.0" encoding="utf-8"?>
<Properties xmlns="http://schemas.openxmlformats.org/officeDocument/2006/custom-properties" xmlns:vt="http://schemas.openxmlformats.org/officeDocument/2006/docPropsVTypes"/>
</file>