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sc-1-system-and-communications-protection-policy-and-procedures"/>
      <w:r>
        <w:t xml:space="preserve">SC-1: System And Communications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communications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system and communications</w:t>
      </w:r>
      <w:r>
        <w:br w:type="textWrapping"/>
      </w:r>
      <w:r>
        <w:rPr>
          <w:rStyle w:val="VerbatimChar"/>
        </w:rPr>
        <w:t xml:space="preserve">protection policy and associated system and communications protection controls; and</w:t>
      </w:r>
      <w:r>
        <w:br w:type="textWrapping"/>
      </w:r>
      <w:r>
        <w:rPr>
          <w:rStyle w:val="VerbatimChar"/>
        </w:rPr>
        <w:t xml:space="preserve">  b.  Reviews and updates the current:</w:t>
      </w:r>
      <w:r>
        <w:br w:type="textWrapping"/>
      </w:r>
      <w:r>
        <w:rPr>
          <w:rStyle w:val="VerbatimChar"/>
        </w:rPr>
        <w:t xml:space="preserve">    1.  System and communications protection policy [Assignment: organization-defined</w:t>
      </w:r>
      <w:r>
        <w:br w:type="textWrapping"/>
      </w:r>
      <w:r>
        <w:rPr>
          <w:rStyle w:val="VerbatimChar"/>
        </w:rPr>
        <w:t xml:space="preserve">frequency]; and</w:t>
      </w:r>
      <w:r>
        <w:br w:type="textWrapping"/>
      </w:r>
      <w:r>
        <w:rPr>
          <w:rStyle w:val="VerbatimChar"/>
        </w:rPr>
        <w:t xml:space="preserve">    2.  System and communications protection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communications protection policy and procedures are formally documented in the None and the Project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7" w:name="sc-5-denial-of-service-protection"/>
      <w:r>
        <w:t xml:space="preserve">SC-5: Denial Of Service Protection</w:t>
      </w:r>
      <w:bookmarkEnd w:id="27"/>
    </w:p>
    <w:p>
      <w:pPr>
        <w:pStyle w:val="SourceCode"/>
      </w:pPr>
      <w:r>
        <w:rPr>
          <w:rStyle w:val="VerbatimChar"/>
        </w:rP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drupal"/>
      <w:r>
        <w:t xml:space="preserve">Drupal</w:t>
      </w:r>
      <w:bookmarkEnd w:id="28"/>
    </w:p>
    <w:p>
      <w:pPr>
        <w:pStyle w:val="FirstParagraph"/>
      </w:pPr>
      <w:r>
        <w:t xml:space="preserve">Drupal has a manual ability to block IP addresses in cases where attacks bypass cloud protection. This is managed by CivicActions Operations.</w:t>
      </w:r>
    </w:p>
    <w:p>
      <w:pPr>
        <w:pStyle w:val="Heading5"/>
      </w:pPr>
      <w:bookmarkStart w:id="29" w:name="ilias"/>
      <w:r>
        <w:t xml:space="preserve">Ilias</w:t>
      </w:r>
      <w:bookmarkEnd w:id="29"/>
    </w:p>
    <w:p>
      <w:pPr>
        <w:pStyle w:val="FirstParagraph"/>
      </w:pPr>
      <w:r>
        <w:t xml:space="preserve">Ilias has a manual ability to block IP addresses in cases where attacks bypass cloud protection. This is managed by CivicActions Operations.</w:t>
      </w:r>
    </w:p>
    <w:p>
      <w:pPr>
        <w:pStyle w:val="Heading5"/>
      </w:pPr>
      <w:bookmarkStart w:id="30" w:name="project-1"/>
      <w:r>
        <w:t xml:space="preserve">Project</w:t>
      </w:r>
      <w:bookmarkEnd w:id="30"/>
    </w:p>
    <w:p>
      <w:pPr>
        <w:pStyle w:val="FirstParagraph"/>
      </w:pPr>
      <w:r>
        <w:t xml:space="preserve">The Project system is configured to reduce vulnerabilities in its operating system and applications to protect against Denial of Service (DoS) attacks.</w:t>
      </w:r>
      <w:r>
        <w:t xml:space="preserve"> </w:t>
      </w:r>
      <w:r>
        <w:t xml:space="preserve">The Project support staff ensures the system is protected against or limits the effect of DoS attacks as specified in the None.</w:t>
      </w:r>
    </w:p>
    <w:p>
      <w:pPr>
        <w:pStyle w:val="Heading3"/>
      </w:pPr>
      <w:bookmarkStart w:id="31" w:name="sc-7-boundary-protection"/>
      <w:r>
        <w:t xml:space="preserve">SC-7: Boundary Protection</w:t>
      </w:r>
      <w:bookmarkEnd w:id="31"/>
    </w:p>
    <w:p>
      <w:pPr>
        <w:pStyle w:val="SourceCode"/>
      </w:pPr>
      <w:r>
        <w:rPr>
          <w:rStyle w:val="VerbatimChar"/>
        </w:rPr>
        <w:t xml:space="preserve">The information system:</w:t>
      </w:r>
      <w:r>
        <w:br w:type="textWrapping"/>
      </w:r>
      <w:r>
        <w:rPr>
          <w:rStyle w:val="VerbatimChar"/>
        </w:rPr>
        <w:t xml:space="preserve">  a.  Monitors and controls communications at the external boundary of the system</w:t>
      </w:r>
      <w:r>
        <w:br w:type="textWrapping"/>
      </w:r>
      <w:r>
        <w:rPr>
          <w:rStyle w:val="VerbatimChar"/>
        </w:rPr>
        <w:t xml:space="preserve">and at key internal boundaries within the system;</w:t>
      </w:r>
      <w:r>
        <w:br w:type="textWrapping"/>
      </w:r>
      <w:r>
        <w:rPr>
          <w:rStyle w:val="VerbatimChar"/>
        </w:rPr>
        <w:t xml:space="preserve">  b.  Implements subnetworks for publicly accessible system components that are</w:t>
      </w:r>
      <w:r>
        <w:br w:type="textWrapping"/>
      </w:r>
      <w:r>
        <w:rPr>
          <w:rStyle w:val="VerbatimChar"/>
        </w:rPr>
        <w:t xml:space="preserve">[Selection: physically; logically] separated from internal organizational networks; and</w:t>
      </w:r>
      <w:r>
        <w:br w:type="textWrapping"/>
      </w:r>
      <w:r>
        <w:rPr>
          <w:rStyle w:val="VerbatimChar"/>
        </w:rPr>
        <w:t xml:space="preserve">  c.  Connects to external networks or information systems only through managed</w:t>
      </w:r>
      <w:r>
        <w:br w:type="textWrapping"/>
      </w:r>
      <w:r>
        <w:rPr>
          <w:rStyle w:val="VerbatimChar"/>
        </w:rPr>
        <w:t xml:space="preserve">interfaces consisting of boundary protection devices arranged in accordance with an organizational security architecture.</w:t>
      </w:r>
    </w:p>
    <w:p>
      <w:pPr>
        <w:pStyle w:val="Heading5"/>
      </w:pPr>
      <w:bookmarkStart w:id="32" w:name="drupal-1"/>
      <w:r>
        <w:t xml:space="preserve">Drupal</w:t>
      </w:r>
      <w:bookmarkEnd w:id="32"/>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3" w:name="ilias-1"/>
      <w:r>
        <w:t xml:space="preserve">Ilias</w:t>
      </w:r>
      <w:bookmarkEnd w:id="33"/>
    </w:p>
    <w:p>
      <w:pPr>
        <w:pStyle w:val="FirstParagraph"/>
      </w:pPr>
      <w:r>
        <w:t xml:space="preserve">Ilias, when deployed on SELinux in full enforcing mode, minimizes the number of services and computing nodes that are exposed to the Internet. Ilias employs both the AWS platform safeguards and the Ilias logging in monitoring and recording system events. All other computing nodes used in the system are isolated within AWS.</w:t>
      </w:r>
    </w:p>
    <w:p>
      <w:pPr>
        <w:pStyle w:val="Heading5"/>
      </w:pPr>
      <w:bookmarkStart w:id="34" w:name="project-2"/>
      <w:r>
        <w:t xml:space="preserve">Project</w:t>
      </w:r>
      <w:bookmarkEnd w:id="34"/>
    </w:p>
    <w:p>
      <w:pPr>
        <w:pStyle w:val="FirstParagraph"/>
      </w:pPr>
      <w:r>
        <w:t xml:space="preserve">The Project system has monitored and controlled communications at the external boundary of the information system and at key internal boundaries within the system, where appropriate. The Project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
      <w:r>
        <w:t xml:space="preserve">AWS</w:t>
      </w:r>
      <w:bookmarkEnd w:id="36"/>
    </w:p>
    <w:p>
      <w:pPr>
        <w:pStyle w:val="FirstParagraph"/>
      </w:pPr>
      <w:r>
        <w:t xml:space="preserve">In this architecture, network communications to, from, and between VPCs, subnets and Amazon S3 buckets are controlled as follows: AWS Route Tables specify which subnets in each VPC are accessible through gateways and which are isolated/private. AWS Security Groups provide stateful inbound/outbound port/protocol restrictions, Amazon Simple Storage Service (Amazon S3) buckets support access control restrictions based on network source/destination.</w:t>
      </w:r>
    </w:p>
    <w:p>
      <w:pPr>
        <w:pStyle w:val="Heading4"/>
      </w:pPr>
      <w:bookmarkStart w:id="37" w:name="b"/>
      <w:r>
        <w:t xml:space="preserve">b</w:t>
      </w:r>
      <w:bookmarkEnd w:id="37"/>
    </w:p>
    <w:p>
      <w:pPr>
        <w:pStyle w:val="Heading5"/>
      </w:pPr>
      <w:bookmarkStart w:id="38" w:name="aws-1"/>
      <w:r>
        <w:t xml:space="preserve">AWS</w:t>
      </w:r>
      <w:bookmarkEnd w:id="38"/>
    </w:p>
    <w:p>
      <w:pPr>
        <w:pStyle w:val="FirstParagraph"/>
      </w:pPr>
      <w:r>
        <w:t xml:space="preserve">In this architecture, subnetworks for publicly accessible system components are logically separated from internal private subnetworks via AWS security groups, refined routing tables, and NACLs.</w:t>
      </w:r>
    </w:p>
    <w:p>
      <w:pPr>
        <w:pStyle w:val="Heading4"/>
      </w:pPr>
      <w:bookmarkStart w:id="39" w:name="c"/>
      <w:r>
        <w:t xml:space="preserve">c</w:t>
      </w:r>
      <w:bookmarkEnd w:id="39"/>
    </w:p>
    <w:p>
      <w:pPr>
        <w:pStyle w:val="Heading5"/>
      </w:pPr>
      <w:bookmarkStart w:id="40" w:name="aws-2"/>
      <w:r>
        <w:t xml:space="preserve">AWS</w:t>
      </w:r>
      <w:bookmarkEnd w:id="40"/>
    </w:p>
    <w:p>
      <w:pPr>
        <w:pStyle w:val="FirstParagraph"/>
      </w:pPr>
      <w:r>
        <w:t xml:space="preserve">In this architecture, connection to external networks is possible only through Internet Gateways (IGWs) or NAT gateways (in regions where supported by AWS VPC) and are restricted based on ports/protocols via AWS Security groups, and default subnet rules provided by NACLs.</w:t>
      </w:r>
    </w:p>
    <w:p>
      <w:pPr>
        <w:pStyle w:val="Heading3"/>
      </w:pPr>
      <w:bookmarkStart w:id="41" w:name="sc-12-cryptographic-key-establishment-and-management"/>
      <w:r>
        <w:t xml:space="preserve">SC-12: Cryptographic Key Establishment And Management</w:t>
      </w:r>
      <w:bookmarkEnd w:id="41"/>
    </w:p>
    <w:p>
      <w:pPr>
        <w:pStyle w:val="SourceCode"/>
      </w:pPr>
      <w:r>
        <w:rPr>
          <w:rStyle w:val="VerbatimChar"/>
        </w:rP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Heading5"/>
      </w:pPr>
      <w:bookmarkStart w:id="42" w:name="project-3"/>
      <w:r>
        <w:t xml:space="preserve">Project</w:t>
      </w:r>
      <w:bookmarkEnd w:id="42"/>
    </w:p>
    <w:p>
      <w:pPr>
        <w:pStyle w:val="FirstParagraph"/>
      </w:pPr>
      <w:r>
        <w:t xml:space="preserve">Use of cryptographic key management for the Project system is in use for at the time of implementation for authentication. CivicActions utilizes customer agency supplied PIV credentials for access to customer instances of the Project. Access enforcement and authentication requirements for Project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SourceCode"/>
      </w:pPr>
      <w:r>
        <w:rPr>
          <w:rStyle w:val="VerbatimChar"/>
        </w:rP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44" w:name="civicactions-1"/>
      <w:r>
        <w:t xml:space="preserve">CivicActions</w:t>
      </w:r>
      <w:bookmarkEnd w:id="44"/>
    </w:p>
    <w:p>
      <w:pPr>
        <w:pStyle w:val="FirstParagraph"/>
      </w:pPr>
      <w:r>
        <w:t xml:space="preserve">The information system implements:</w:t>
      </w:r>
    </w:p>
    <w:p>
      <w:pPr>
        <w:pStyle w:val="Compact"/>
        <w:numPr>
          <w:numId w:val="1001"/>
          <w:ilvl w:val="0"/>
        </w:numPr>
      </w:pPr>
      <w:r>
        <w:t xml:space="preserve">Cryptographic modules through Secure Shell (SSH) to allow administrators to securely logon to the various system components</w:t>
      </w:r>
    </w:p>
    <w:p>
      <w:pPr>
        <w:pStyle w:val="Compact"/>
        <w:numPr>
          <w:numId w:val="1001"/>
          <w:ilvl w:val="0"/>
        </w:numPr>
      </w:pPr>
      <w:r>
        <w:t xml:space="preserve">HTTPS/SSL (TLS) for connection to web-based services</w:t>
      </w:r>
    </w:p>
    <w:p>
      <w:pPr>
        <w:pStyle w:val="Compact"/>
        <w:numPr>
          <w:numId w:val="1001"/>
          <w:ilvl w:val="0"/>
        </w:numPr>
      </w:pPr>
      <w:r>
        <w:t xml:space="preserve">TLS for connection to email services</w:t>
      </w:r>
    </w:p>
    <w:p>
      <w:pPr>
        <w:pStyle w:val="Compact"/>
        <w:numPr>
          <w:numId w:val="1001"/>
          <w:ilvl w:val="0"/>
        </w:numPr>
      </w:pPr>
      <w:r>
        <w:t xml:space="preserve">AES-256 (FIPS 140-2 validated) for data at rest (with Elastic Block Store (EBS) volumes)</w:t>
      </w:r>
    </w:p>
    <w:p>
      <w:pPr>
        <w:pStyle w:val="Heading3"/>
      </w:pPr>
      <w:bookmarkStart w:id="45" w:name="sc-15-collaborative-computing-devices"/>
      <w:r>
        <w:t xml:space="preserve">SC-15: Collaborative Computing Devices</w:t>
      </w:r>
      <w:bookmarkEnd w:id="45"/>
    </w:p>
    <w:p>
      <w:pPr>
        <w:pStyle w:val="SourceCode"/>
      </w:pPr>
      <w:r>
        <w:rPr>
          <w:rStyle w:val="VerbatimChar"/>
        </w:rPr>
        <w:t xml:space="preserve">The information system:</w:t>
      </w:r>
      <w:r>
        <w:br w:type="textWrapping"/>
      </w:r>
      <w:r>
        <w:rPr>
          <w:rStyle w:val="VerbatimChar"/>
        </w:rPr>
        <w:t xml:space="preserve">  a.  Prohibits remote activation of collaborative computing devices with the</w:t>
      </w:r>
      <w:r>
        <w:br w:type="textWrapping"/>
      </w:r>
      <w:r>
        <w:rPr>
          <w:rStyle w:val="VerbatimChar"/>
        </w:rPr>
        <w:t xml:space="preserve">following exceptions: [Assignment: organization-defined exceptions where remote activation is to be allowed]; and</w:t>
      </w:r>
      <w:r>
        <w:br w:type="textWrapping"/>
      </w:r>
      <w:r>
        <w:rPr>
          <w:rStyle w:val="VerbatimChar"/>
        </w:rPr>
        <w:t xml:space="preserve">  b.  Provides an explicit indication of use to users physically present at the</w:t>
      </w:r>
      <w:r>
        <w:br w:type="textWrapping"/>
      </w:r>
      <w:r>
        <w:rPr>
          <w:rStyle w:val="VerbatimChar"/>
        </w:rPr>
        <w:t xml:space="preserve">devices.</w:t>
      </w:r>
    </w:p>
    <w:p>
      <w:pPr>
        <w:pStyle w:val="Heading5"/>
      </w:pPr>
      <w:bookmarkStart w:id="46" w:name="project-4"/>
      <w:r>
        <w:t xml:space="preserve">Project</w:t>
      </w:r>
      <w:bookmarkEnd w:id="46"/>
    </w:p>
    <w:p>
      <w:pPr>
        <w:pStyle w:val="FirstParagraph"/>
      </w:pPr>
      <w:r>
        <w:t xml:space="preserve">This control is not applicable, as the Project system does</w:t>
      </w:r>
      <w:r>
        <w:t xml:space="preserve"> </w:t>
      </w:r>
      <w:r>
        <w:t xml:space="preserve">employ any collaborative computing devices.</w:t>
      </w:r>
    </w:p>
    <w:p>
      <w:pPr>
        <w:pStyle w:val="Heading3"/>
      </w:pPr>
      <w:bookmarkStart w:id="47" w:name="sc-20-secure-name-address-resolution-service-authoritative-source"/>
      <w:r>
        <w:t xml:space="preserve">SC-20: Secure Name / Address Resolution Service (Authoritative Source)</w:t>
      </w:r>
      <w:bookmarkEnd w:id="47"/>
    </w:p>
    <w:p>
      <w:pPr>
        <w:pStyle w:val="SourceCode"/>
      </w:pPr>
      <w:r>
        <w:rPr>
          <w:rStyle w:val="VerbatimChar"/>
        </w:rPr>
        <w:t xml:space="preserve">The information system:</w:t>
      </w:r>
      <w:r>
        <w:br w:type="textWrapping"/>
      </w:r>
      <w:r>
        <w:rPr>
          <w:rStyle w:val="VerbatimChar"/>
        </w:rPr>
        <w:t xml:space="preserve">  a.  Provides additional data origin authentication and integrity verification</w:t>
      </w:r>
      <w:r>
        <w:br w:type="textWrapping"/>
      </w:r>
      <w:r>
        <w:rPr>
          <w:rStyle w:val="VerbatimChar"/>
        </w:rPr>
        <w:t xml:space="preserve">artifacts along with the authoritative name resolution data the system returns in response to external name/address resolution queries; and</w:t>
      </w:r>
      <w:r>
        <w:br w:type="textWrapping"/>
      </w:r>
      <w:r>
        <w:rPr>
          <w:rStyle w:val="VerbatimChar"/>
        </w:rPr>
        <w:t xml:space="preserve">  b.  Provides the means to indicate the security status of child zones and (if</w:t>
      </w:r>
      <w:r>
        <w:br w:type="textWrapping"/>
      </w:r>
      <w:r>
        <w:rPr>
          <w:rStyle w:val="VerbatimChar"/>
        </w:rPr>
        <w:t xml:space="preserve">the child supports secure resolution services) to enable verification of a chain of trust among parent and child domains, when operating as part of a distributed, hierarchical namespace.</w:t>
      </w:r>
    </w:p>
    <w:p>
      <w:pPr>
        <w:pStyle w:val="Heading5"/>
      </w:pPr>
      <w:bookmarkStart w:id="48" w:name="civicactions-2"/>
      <w:r>
        <w:t xml:space="preserve">CivicActions</w:t>
      </w:r>
      <w:bookmarkEnd w:id="48"/>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9" w:name="sc-21-secure-name-address-resolution-service-recursive-or-caching-resolver"/>
      <w:r>
        <w:t xml:space="preserve">SC-21: Secure Name / Address Resolution Service (Recursive Or Caching Resolver)</w:t>
      </w:r>
      <w:bookmarkEnd w:id="49"/>
    </w:p>
    <w:p>
      <w:pPr>
        <w:pStyle w:val="SourceCode"/>
      </w:pPr>
      <w:r>
        <w:rPr>
          <w:rStyle w:val="VerbatimChar"/>
        </w:rPr>
        <w:t xml:space="preserve">The information system requests and performs data origin authentication and data integrity verification on the name/address resolution responses the system receives from authoritative sources.</w:t>
      </w:r>
    </w:p>
    <w:p>
      <w:pPr>
        <w:pStyle w:val="Heading5"/>
      </w:pPr>
      <w:bookmarkStart w:id="50" w:name="civicactions-3"/>
      <w:r>
        <w:t xml:space="preserve">CivicActions</w:t>
      </w:r>
      <w:bookmarkEnd w:id="50"/>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1" w:name="sc-22-architecture-and-provisioning-for-name-address-resolution-service"/>
      <w:r>
        <w:t xml:space="preserve">SC-22: Architecture And Provisioning For Name / Address Resolution Service</w:t>
      </w:r>
      <w:bookmarkEnd w:id="51"/>
    </w:p>
    <w:p>
      <w:pPr>
        <w:pStyle w:val="SourceCode"/>
      </w:pPr>
      <w:r>
        <w:rPr>
          <w:rStyle w:val="VerbatimChar"/>
        </w:rPr>
        <w:t xml:space="preserve">The information systems that collectively provide name/address resolution service for an organization are fault-tolerant and implement internal/external role separation.</w:t>
      </w:r>
    </w:p>
    <w:p>
      <w:pPr>
        <w:pStyle w:val="Heading5"/>
      </w:pPr>
      <w:bookmarkStart w:id="52" w:name="civicactions-4"/>
      <w:r>
        <w:t xml:space="preserve">CivicActions</w:t>
      </w:r>
      <w:bookmarkEnd w:id="52"/>
    </w:p>
    <w:p>
      <w:pPr>
        <w:pStyle w:val="Heading3"/>
      </w:pPr>
      <w:bookmarkStart w:id="53" w:name="sc-39-process-isolation"/>
      <w:r>
        <w:t xml:space="preserve">SC-39: Process Isolation</w:t>
      </w:r>
      <w:bookmarkEnd w:id="53"/>
    </w:p>
    <w:p>
      <w:pPr>
        <w:pStyle w:val="SourceCode"/>
      </w:pPr>
      <w:r>
        <w:rPr>
          <w:rStyle w:val="VerbatimChar"/>
        </w:rPr>
        <w:t xml:space="preserve">The information system maintains a separate execution domain for each executing process.</w:t>
      </w:r>
    </w:p>
    <w:p>
      <w:pPr>
        <w:pStyle w:val="Heading5"/>
      </w:pPr>
      <w:bookmarkStart w:id="54" w:name="civicactions-5"/>
      <w:r>
        <w:t xml:space="preserve">CivicActions</w:t>
      </w:r>
      <w:bookmarkEnd w:id="54"/>
    </w:p>
    <w:p>
      <w:pPr>
        <w:pStyle w:val="FirstParagraph"/>
      </w:pPr>
      <w:r>
        <w:t xml:space="preserve">Process isolation is maintained on the Linux platform. Linux is the only operating system that is part of the boundary.</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2023-03-23T20:29:03Z</dcterms:created>
  <dcterms:modified xsi:type="dcterms:W3CDTF">2023-03-23T20:29:03Z</dcterms:modified>
</cp:coreProperties>
</file>