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lincs-system-security-plan"/>
      <w:r>
        <w:t xml:space="preserve">LINCS System Security Plan</w:t>
      </w:r>
      <w:bookmarkEnd w:id="20"/>
    </w:p>
    <w:p>
      <w:pPr>
        <w:pStyle w:val="Heading1"/>
      </w:pPr>
      <w:bookmarkStart w:id="21" w:name="nist-sp-800-53-revision-4"/>
      <w:r>
        <w:t xml:space="preserve">NIST SP 800-53 Revision 4</w:t>
      </w:r>
      <w:bookmarkEnd w:id="21"/>
    </w:p>
    <w:p>
      <w:pPr>
        <w:pStyle w:val="Heading2"/>
      </w:pPr>
      <w:bookmarkStart w:id="22" w:name="sc-system-and-communications-protection"/>
      <w:r>
        <w:t xml:space="preserve">SC: System and Communications Protection</w:t>
      </w:r>
      <w:bookmarkEnd w:id="22"/>
    </w:p>
    <w:p>
      <w:pPr>
        <w:pStyle w:val="Heading3"/>
      </w:pPr>
      <w:bookmarkStart w:id="23" w:name="Xc34f4b410cd814b349243a40f2961c1ef4e1326"/>
      <w:r>
        <w:t xml:space="preserve">SC-1: System And Communications Protection Policy And Procedures</w:t>
      </w:r>
      <w:bookmarkEnd w:id="23"/>
    </w:p>
    <w:p>
      <w:pPr>
        <w:pStyle w:val="BlockText"/>
      </w:pPr>
      <w:r>
        <w:t xml:space="preserve">The organization:</w:t>
      </w:r>
      <w:r>
        <w:t xml:space="preserve"> </w:t>
      </w:r>
      <w:r>
        <w:t xml:space="preserve">a. Develops, documents, and disseminates to [Assignment: organization-defined</w:t>
      </w:r>
      <w:r>
        <w:t xml:space="preserve"> </w:t>
      </w:r>
      <w:r>
        <w:t xml:space="preserve">personnel or roles]:</w:t>
      </w:r>
      <w:r>
        <w:t xml:space="preserve"> </w:t>
      </w:r>
      <w:r>
        <w:t xml:space="preserve">1. A system and communications protection policy that addresses purpose,</w:t>
      </w:r>
      <w:r>
        <w:t xml:space="preserve"> </w:t>
      </w:r>
      <w:r>
        <w:t xml:space="preserve">scope, roles, responsibilities, management commitment, coordination among organizational entities, and compliance; and</w:t>
      </w:r>
      <w:r>
        <w:t xml:space="preserve"> </w:t>
      </w:r>
      <w:r>
        <w:t xml:space="preserve">2. Procedures to facilitate the implementation of the system and communications</w:t>
      </w:r>
      <w:r>
        <w:t xml:space="preserve"> </w:t>
      </w:r>
      <w:r>
        <w:t xml:space="preserve">protection policy and associated system and communications protection controls; and</w:t>
      </w:r>
      <w:r>
        <w:t xml:space="preserve"> </w:t>
      </w:r>
      <w:r>
        <w:t xml:space="preserve">b. Reviews and updates the current:</w:t>
      </w:r>
      <w:r>
        <w:t xml:space="preserve"> </w:t>
      </w:r>
      <w:r>
        <w:t xml:space="preserve">1. System and communications protection policy [Assignment: organization-defined</w:t>
      </w:r>
      <w:r>
        <w:t xml:space="preserve"> </w:t>
      </w:r>
      <w:r>
        <w:t xml:space="preserve">frequency]; and</w:t>
      </w:r>
      <w:r>
        <w:t xml:space="preserve"> </w:t>
      </w:r>
      <w:r>
        <w:t xml:space="preserve">2. System and communications protection procedures [Assignment: organization-defined</w:t>
      </w:r>
      <w:r>
        <w:t xml:space="preserve"> </w:t>
      </w:r>
      <w:r>
        <w:t xml:space="preserve">frequency].</w:t>
      </w:r>
    </w:p>
    <w:p>
      <w:pPr>
        <w:pStyle w:val="Heading5"/>
      </w:pPr>
      <w:bookmarkStart w:id="24" w:name="aws"/>
      <w:r>
        <w:t xml:space="preserve">AWS</w:t>
      </w:r>
      <w:bookmarkEnd w:id="24"/>
    </w:p>
    <w:p>
      <w:pPr>
        <w:pStyle w:val="FirstParagraph"/>
      </w:pPr>
      <w:r>
        <w:t xml:space="preserve">The system partially inherits this control from the FedRAMP Provisional ATO granted to the AWS Cloud Service Providers dated 1 May 2013.</w:t>
      </w:r>
    </w:p>
    <w:p>
      <w:pPr>
        <w:pStyle w:val="Heading5"/>
      </w:pPr>
      <w:bookmarkStart w:id="25" w:name="civicactions"/>
      <w:r>
        <w:t xml:space="preserve">CivicActions</w:t>
      </w:r>
      <w:bookmarkEnd w:id="25"/>
    </w:p>
    <w:p>
      <w:pPr>
        <w:pStyle w:val="FirstParagraph"/>
      </w:pPr>
      <w:r>
        <w:t xml:space="preserve">CivicActions has developed, documented and disseminated to personnel a system and communication policy that addresses purpose, scope, roles, responsibilities, management commitment, coordination among organizational entities, and compliance; and procedures to facilitate the implementation of the policy and associated controls. This information is maintained in the CivicActions System and Communications Protection (SC) Policy CivicActions document that can be found in the CivicActions Github repository at</w:t>
      </w:r>
      <w:r>
        <w:t xml:space="preserve"> </w:t>
      </w:r>
      <w:hyperlink r:id="rId26">
        <w:r>
          <w:rPr>
            <w:rStyle w:val="Hyperlink"/>
          </w:rPr>
          <w:t xml:space="preserve">https://github.com/CivicActions/compliance-docs/</w:t>
        </w:r>
      </w:hyperlink>
      <w:r>
        <w:t xml:space="preserve">.</w:t>
      </w:r>
    </w:p>
    <w:p>
      <w:pPr>
        <w:pStyle w:val="Heading5"/>
      </w:pPr>
      <w:bookmarkStart w:id="27" w:name="lincs"/>
      <w:r>
        <w:t xml:space="preserve">LINCS</w:t>
      </w:r>
      <w:bookmarkEnd w:id="27"/>
    </w:p>
    <w:p>
      <w:pPr>
        <w:pStyle w:val="FirstParagraph"/>
      </w:pPr>
      <w:r>
        <w:t xml:space="preserve">System and communications protection policy and procedures are formally documented in the Department of Education, Handbook for Information Assurance Security Policy (Handbook OCIO-01) and the LINCS SSP. The Department reviews and updates the policy as necessary and has been continually updated since April 2008.</w:t>
      </w:r>
      <w:r>
        <w:t xml:space="preserve"> </w:t>
      </w:r>
      <w:r>
        <w:t xml:space="preserve">This is Agency common control. More data about implementation can be obtained from the Agency common control catalog.</w:t>
      </w:r>
    </w:p>
    <w:p>
      <w:pPr>
        <w:pStyle w:val="Heading3"/>
      </w:pPr>
      <w:bookmarkStart w:id="28" w:name="sc-5-denial-of-service-protection"/>
      <w:r>
        <w:t xml:space="preserve">SC-5: Denial Of Service Protection</w:t>
      </w:r>
      <w:bookmarkEnd w:id="28"/>
    </w:p>
    <w:p>
      <w:pPr>
        <w:pStyle w:val="BlockText"/>
      </w:pPr>
      <w:r>
        <w:t xml:space="preserve">The information system protects against or limits the effects of the following types of denial of service attacks: [Assignment: organization-defined types of denial of service attacks or references to sources for such information] by employing [Assignment: organization-defined security safeguards].</w:t>
      </w:r>
    </w:p>
    <w:p>
      <w:pPr>
        <w:pStyle w:val="Heading5"/>
      </w:pPr>
      <w:bookmarkStart w:id="29" w:name="aws-1"/>
      <w:r>
        <w:t xml:space="preserve">AWS</w:t>
      </w:r>
      <w:bookmarkEnd w:id="29"/>
    </w:p>
    <w:p>
      <w:pPr>
        <w:pStyle w:val="FirstParagraph"/>
      </w:pPr>
      <w:r>
        <w:t xml:space="preserve">The system partially inherits this control from the FedRAMP Provisional ATO granted to the AWS Cloud dated 1 May 2013 for the following: denial of service protection.</w:t>
      </w:r>
    </w:p>
    <w:p>
      <w:pPr>
        <w:pStyle w:val="Heading5"/>
      </w:pPr>
      <w:bookmarkStart w:id="30" w:name="drupal"/>
      <w:r>
        <w:t xml:space="preserve">Drupal</w:t>
      </w:r>
      <w:bookmarkEnd w:id="30"/>
    </w:p>
    <w:p>
      <w:pPr>
        <w:pStyle w:val="FirstParagraph"/>
      </w:pPr>
      <w:r>
        <w:t xml:space="preserve">Drupal has a manual ability to block IP addresses in cases where attacks bypass cloud protection. This is managed by CivicActions Operations.</w:t>
      </w:r>
    </w:p>
    <w:p>
      <w:pPr>
        <w:pStyle w:val="Heading5"/>
      </w:pPr>
      <w:bookmarkStart w:id="31" w:name="lincs-1"/>
      <w:r>
        <w:t xml:space="preserve">LINCS</w:t>
      </w:r>
      <w:bookmarkEnd w:id="31"/>
    </w:p>
    <w:p>
      <w:pPr>
        <w:pStyle w:val="FirstParagraph"/>
      </w:pPr>
      <w:r>
        <w:t xml:space="preserve">The LINCS Technology Project system is configured to reduce vulnerabilities in its operating system and applications to protect against Denial of Service (DoS) attacks.</w:t>
      </w:r>
      <w:r>
        <w:t xml:space="preserve"> </w:t>
      </w:r>
      <w:r>
        <w:t xml:space="preserve">The LINCS support staff ensures the system is protected against or limits the effect of DoS attacks as specified in the Department of Education, Handbook for Information Security Incident Response and Reporting Procedures (Handbook OCIO-14).</w:t>
      </w:r>
    </w:p>
    <w:p>
      <w:pPr>
        <w:pStyle w:val="Heading3"/>
      </w:pPr>
      <w:bookmarkStart w:id="32" w:name="sc-7-boundary-protection"/>
      <w:r>
        <w:t xml:space="preserve">SC-7: Boundary Protection</w:t>
      </w:r>
      <w:bookmarkEnd w:id="32"/>
    </w:p>
    <w:p>
      <w:pPr>
        <w:pStyle w:val="BlockText"/>
      </w:pPr>
      <w:r>
        <w:t xml:space="preserve">The information system:</w:t>
      </w:r>
      <w:r>
        <w:t xml:space="preserve"> </w:t>
      </w:r>
      <w:r>
        <w:t xml:space="preserve">a. Monitors and controls communications at the external boundary of the system</w:t>
      </w:r>
      <w:r>
        <w:t xml:space="preserve"> </w:t>
      </w:r>
      <w:r>
        <w:t xml:space="preserve">and at key internal boundaries within the system;</w:t>
      </w:r>
      <w:r>
        <w:t xml:space="preserve"> </w:t>
      </w:r>
      <w:r>
        <w:t xml:space="preserve">b. Implements subnetworks for publicly accessible system components that are</w:t>
      </w:r>
      <w:r>
        <w:t xml:space="preserve"> </w:t>
      </w:r>
      <w:r>
        <w:t xml:space="preserve">[Selection: physically; logically] separated from internal organizational networks; and</w:t>
      </w:r>
      <w:r>
        <w:t xml:space="preserve"> </w:t>
      </w:r>
      <w:r>
        <w:t xml:space="preserve">c. Connects to external networks or information systems only through managed</w:t>
      </w:r>
      <w:r>
        <w:t xml:space="preserve"> </w:t>
      </w:r>
      <w:r>
        <w:t xml:space="preserve">interfaces consisting of boundary protection devices arranged in accordance with an organizational security architecture.</w:t>
      </w:r>
    </w:p>
    <w:p>
      <w:pPr>
        <w:pStyle w:val="Heading5"/>
      </w:pPr>
      <w:bookmarkStart w:id="33" w:name="drupal-1"/>
      <w:r>
        <w:t xml:space="preserve">Drupal</w:t>
      </w:r>
      <w:bookmarkEnd w:id="33"/>
    </w:p>
    <w:p>
      <w:pPr>
        <w:pStyle w:val="FirstParagraph"/>
      </w:pPr>
      <w:r>
        <w:t xml:space="preserve">Drupal, when deployed on SELinux in full enforcing mode, minimizes the number of services and computing nodes that are exposed to the Internet. Drupal employs both the AWS platform safeguards and the Drupal Watchdog module in monitoring and recording system events. All other computing nodes used in the system are isolated within AWS.</w:t>
      </w:r>
    </w:p>
    <w:p>
      <w:pPr>
        <w:pStyle w:val="Heading5"/>
      </w:pPr>
      <w:bookmarkStart w:id="34" w:name="lincs-2"/>
      <w:r>
        <w:t xml:space="preserve">LINCS</w:t>
      </w:r>
      <w:bookmarkEnd w:id="34"/>
    </w:p>
    <w:p>
      <w:pPr>
        <w:pStyle w:val="FirstParagraph"/>
      </w:pPr>
      <w:r>
        <w:t xml:space="preserve">The LINCS Technology Project system has monitored and controlled communications at the external boundary of the information system and at key internal boundaries within the system, where appropriate. The LINCS allocates publicly accessible information system components (e.g., public web servers) specific IP address and port combinations. Public access into the organization’s internal networks is prevented except as appropriately mediated.</w:t>
      </w:r>
    </w:p>
    <w:p>
      <w:pPr>
        <w:pStyle w:val="Heading4"/>
      </w:pPr>
      <w:bookmarkStart w:id="35" w:name="a"/>
      <w:r>
        <w:t xml:space="preserve">a</w:t>
      </w:r>
      <w:bookmarkEnd w:id="35"/>
    </w:p>
    <w:p>
      <w:pPr>
        <w:pStyle w:val="Heading5"/>
      </w:pPr>
      <w:bookmarkStart w:id="36" w:name="aws-2"/>
      <w:r>
        <w:t xml:space="preserve">AWS</w:t>
      </w:r>
      <w:bookmarkEnd w:id="36"/>
    </w:p>
    <w:p>
      <w:pPr>
        <w:pStyle w:val="FirstParagraph"/>
      </w:pPr>
      <w:r>
        <w:t xml:space="preserve">The system partially inherits this control from the FedRAMP Provisional ATO granted to the AWS Cloud dated 1 May 2013 for the following: boundary protection.</w:t>
      </w:r>
    </w:p>
    <w:p>
      <w:pPr>
        <w:pStyle w:val="Heading4"/>
      </w:pPr>
      <w:bookmarkStart w:id="37" w:name="b"/>
      <w:r>
        <w:t xml:space="preserve">b</w:t>
      </w:r>
      <w:bookmarkEnd w:id="37"/>
    </w:p>
    <w:p>
      <w:pPr>
        <w:pStyle w:val="Heading5"/>
      </w:pPr>
      <w:bookmarkStart w:id="38" w:name="aws-3"/>
      <w:r>
        <w:t xml:space="preserve">AWS</w:t>
      </w:r>
      <w:bookmarkEnd w:id="38"/>
    </w:p>
    <w:p>
      <w:pPr>
        <w:pStyle w:val="FirstParagraph"/>
      </w:pPr>
      <w:r>
        <w:t xml:space="preserve">The authorization boundary is completely contained within a Virtual Private Cloud (VPC) created and managed by the AWS Infrastructure as a Service (IaaS). External connections must be explicitly configured via the AWS Security Groups (SG) mechanism.</w:t>
      </w:r>
      <w:r>
        <w:t xml:space="preserve"> </w:t>
      </w:r>
      <w:r>
        <w:t xml:space="preserve">The system partially inherits this control from the FedRAMP Provisional ATO granted to the AWS Cloud dated 1 May 2013 for the following: boundary protection.</w:t>
      </w:r>
    </w:p>
    <w:p>
      <w:pPr>
        <w:pStyle w:val="Heading4"/>
      </w:pPr>
      <w:bookmarkStart w:id="39" w:name="c"/>
      <w:r>
        <w:t xml:space="preserve">c</w:t>
      </w:r>
      <w:bookmarkEnd w:id="39"/>
    </w:p>
    <w:p>
      <w:pPr>
        <w:pStyle w:val="Heading5"/>
      </w:pPr>
      <w:bookmarkStart w:id="40" w:name="aws-4"/>
      <w:r>
        <w:t xml:space="preserve">AWS</w:t>
      </w:r>
      <w:bookmarkEnd w:id="40"/>
    </w:p>
    <w:p>
      <w:pPr>
        <w:pStyle w:val="FirstParagraph"/>
      </w:pPr>
      <w:r>
        <w:t xml:space="preserve">Internal organizational networks (e.g. CivicActions private networks) are physically separate from the AWS platform and are protected by managed boundary devices that include FIPS 140-2 validated encryption modules at all entry points.</w:t>
      </w:r>
      <w:r>
        <w:t xml:space="preserve"> </w:t>
      </w:r>
      <w:r>
        <w:t xml:space="preserve">The system partially inherits this control from the FedRAMP Provisional ATO granted to the AWS Cloud dated 1 May 2013 for the following: boundary protection.</w:t>
      </w:r>
    </w:p>
    <w:p>
      <w:pPr>
        <w:pStyle w:val="Heading3"/>
      </w:pPr>
      <w:bookmarkStart w:id="41" w:name="X75181287bda87b8178bfcd83d303326b30359a8"/>
      <w:r>
        <w:t xml:space="preserve">SC-12: Cryptographic Key Establishment And Management</w:t>
      </w:r>
      <w:bookmarkEnd w:id="41"/>
    </w:p>
    <w:p>
      <w:pPr>
        <w:pStyle w:val="BlockText"/>
      </w:pPr>
      <w:r>
        <w:t xml:space="preserve">The organization establishes and manages cryptographic keys for required cryptography employed within the information system in accordance with [Assignment: organization-defined requirements for key generation, distribution, storage, access, and destruction].</w:t>
      </w:r>
    </w:p>
    <w:p>
      <w:pPr>
        <w:pStyle w:val="Heading5"/>
      </w:pPr>
      <w:bookmarkStart w:id="42" w:name="lincs-3"/>
      <w:r>
        <w:t xml:space="preserve">LINCS</w:t>
      </w:r>
      <w:bookmarkEnd w:id="42"/>
    </w:p>
    <w:p>
      <w:pPr>
        <w:pStyle w:val="FirstParagraph"/>
      </w:pPr>
      <w:r>
        <w:t xml:space="preserve">Use of cryptographic key management for the LINCS system is not in use for at the time of implementation for authentication. CivicActions does not utilize customer agency supplied PIV credentials for access to customer instances of the LINCS. Access enforcement and authentication requirements for LINCS are described in AC-2 &amp; IA-2. AWS platform does not utilize or manage cryptographic keys within the ACE boundary.</w:t>
      </w:r>
    </w:p>
    <w:p>
      <w:pPr>
        <w:pStyle w:val="Heading3"/>
      </w:pPr>
      <w:bookmarkStart w:id="43" w:name="sc-13-cryptographic-protection"/>
      <w:r>
        <w:t xml:space="preserve">SC-13: Cryptographic Protection</w:t>
      </w:r>
      <w:bookmarkEnd w:id="43"/>
    </w:p>
    <w:p>
      <w:pPr>
        <w:pStyle w:val="BlockText"/>
      </w:pPr>
      <w:r>
        <w:t xml:space="preserve">The information system implements [Assignment: organization-defined cryptographic uses and type of cryptography required for each use] in accordance with applicable federal laws, Executive Orders, directives, policies, regulations, and standards.</w:t>
      </w:r>
    </w:p>
    <w:p>
      <w:pPr>
        <w:pStyle w:val="Heading5"/>
      </w:pPr>
      <w:bookmarkStart w:id="44" w:name="aws-5"/>
      <w:r>
        <w:t xml:space="preserve">AWS</w:t>
      </w:r>
      <w:bookmarkEnd w:id="44"/>
    </w:p>
    <w:p>
      <w:pPr>
        <w:pStyle w:val="FirstParagraph"/>
      </w:pPr>
      <w:r>
        <w:t xml:space="preserve">The system partially inherits this control from the FedRAMP Provisional ATO granted to the AWS Cloud dated 1 May 2013 for the following: cryptographic protection for data in motion (with SSH and HTTPS/SSL) and for data at rest (with Elastic Block Store (EBS) volumnes).</w:t>
      </w:r>
    </w:p>
    <w:p>
      <w:pPr>
        <w:pStyle w:val="Heading5"/>
      </w:pPr>
      <w:bookmarkStart w:id="45" w:name="civicactions-1"/>
      <w:r>
        <w:t xml:space="preserve">CivicActions</w:t>
      </w:r>
      <w:bookmarkEnd w:id="45"/>
    </w:p>
    <w:p>
      <w:pPr>
        <w:pStyle w:val="FirstParagraph"/>
      </w:pPr>
      <w:r>
        <w:t xml:space="preserve">The information system implements:</w:t>
      </w:r>
      <w:r>
        <w:t xml:space="preserve"> </w:t>
      </w:r>
      <w:r>
        <w:t xml:space="preserve">• cryptographic modules through Secure Shell (SSH) to allow administrators to securely logon to the various system components</w:t>
      </w:r>
      <w:r>
        <w:t xml:space="preserve"> </w:t>
      </w:r>
      <w:r>
        <w:t xml:space="preserve">• HTTPS/SSL (TLS) for connection to web-based services</w:t>
      </w:r>
      <w:r>
        <w:t xml:space="preserve"> </w:t>
      </w:r>
      <w:r>
        <w:t xml:space="preserve">• TLS for connection to email services</w:t>
      </w:r>
      <w:r>
        <w:t xml:space="preserve"> </w:t>
      </w:r>
      <w:r>
        <w:t xml:space="preserve">* AES-256 (FIPS 140-2 validated) for data at rest (with Elastic Block Store (EBS) volumnes)</w:t>
      </w:r>
    </w:p>
    <w:p>
      <w:pPr>
        <w:pStyle w:val="Heading3"/>
      </w:pPr>
      <w:bookmarkStart w:id="46" w:name="sc-15-collaborative-computing-devices"/>
      <w:r>
        <w:t xml:space="preserve">SC-15: Collaborative Computing Devices</w:t>
      </w:r>
      <w:bookmarkEnd w:id="46"/>
    </w:p>
    <w:p>
      <w:pPr>
        <w:pStyle w:val="BlockText"/>
      </w:pPr>
      <w:r>
        <w:t xml:space="preserve">The information system:</w:t>
      </w:r>
      <w:r>
        <w:t xml:space="preserve"> </w:t>
      </w:r>
      <w:r>
        <w:t xml:space="preserve">a. Prohibits remote activation of collaborative computing devices with the</w:t>
      </w:r>
      <w:r>
        <w:t xml:space="preserve"> </w:t>
      </w:r>
      <w:r>
        <w:t xml:space="preserve">following exceptions: [Assignment: organization-defined exceptions where remote activation is to be allowed]; and</w:t>
      </w:r>
      <w:r>
        <w:t xml:space="preserve"> </w:t>
      </w:r>
      <w:r>
        <w:t xml:space="preserve">b. Provides an explicit indication of use to users physically present at the</w:t>
      </w:r>
      <w:r>
        <w:t xml:space="preserve"> </w:t>
      </w:r>
      <w:r>
        <w:t xml:space="preserve">devices.</w:t>
      </w:r>
    </w:p>
    <w:p>
      <w:pPr>
        <w:pStyle w:val="Heading5"/>
      </w:pPr>
      <w:bookmarkStart w:id="47" w:name="lincs-4"/>
      <w:r>
        <w:t xml:space="preserve">LINCS</w:t>
      </w:r>
      <w:bookmarkEnd w:id="47"/>
    </w:p>
    <w:p>
      <w:pPr>
        <w:pStyle w:val="FirstParagraph"/>
      </w:pPr>
      <w:r>
        <w:t xml:space="preserve">This control is not applicable, as the LINCS system does not employ any collaborative computing devices.</w:t>
      </w:r>
    </w:p>
    <w:p>
      <w:pPr>
        <w:pStyle w:val="Heading3"/>
      </w:pPr>
      <w:bookmarkStart w:id="48" w:name="Xf823e67d9c8bb0305ef9f9ae38ddbece62e2c44"/>
      <w:r>
        <w:t xml:space="preserve">SC-20: Secure Name / Address Resolution Service (Authoritative Source)</w:t>
      </w:r>
      <w:bookmarkEnd w:id="48"/>
    </w:p>
    <w:p>
      <w:pPr>
        <w:pStyle w:val="BlockText"/>
      </w:pPr>
      <w:r>
        <w:t xml:space="preserve">The information system:</w:t>
      </w:r>
      <w:r>
        <w:t xml:space="preserve"> </w:t>
      </w:r>
      <w:r>
        <w:t xml:space="preserve">a. Provides additional data origin authentication and integrity verification</w:t>
      </w:r>
      <w:r>
        <w:t xml:space="preserve"> </w:t>
      </w:r>
      <w:r>
        <w:t xml:space="preserve">artifacts along with the authoritative name resolution data the system returns in response to external name/address resolution queries; and</w:t>
      </w:r>
      <w:r>
        <w:t xml:space="preserve"> </w:t>
      </w:r>
      <w:r>
        <w:t xml:space="preserve">b. Provides the means to indicate the security status of child zones and (if</w:t>
      </w:r>
      <w:r>
        <w:t xml:space="preserve"> </w:t>
      </w:r>
      <w:r>
        <w:t xml:space="preserve">the child supports secure resolution services) to enable verification of a chain of trust among parent and child domains, when operating as part of a distributed, hierarchical namespace.</w:t>
      </w:r>
    </w:p>
    <w:p>
      <w:pPr>
        <w:pStyle w:val="Heading5"/>
      </w:pPr>
      <w:bookmarkStart w:id="49" w:name="aws-6"/>
      <w:r>
        <w:t xml:space="preserve">AWS</w:t>
      </w:r>
      <w:bookmarkEnd w:id="49"/>
    </w:p>
    <w:p>
      <w:pPr>
        <w:pStyle w:val="FirstParagraph"/>
      </w:pPr>
      <w:r>
        <w:t xml:space="preserve">The system inherits this control from the FedRAMP Provisional ATO granted to the AWS Cloud dated 1 May 2013 for the following: secure name / address resolution service (authoritative source)</w:t>
      </w:r>
    </w:p>
    <w:p>
      <w:pPr>
        <w:pStyle w:val="Heading3"/>
      </w:pPr>
      <w:bookmarkStart w:id="50" w:name="X3dd238040b2f0519ba63ddd322789e35e17be9a"/>
      <w:r>
        <w:t xml:space="preserve">SC-21: Secure Name / Address Resolution Service (Recursive Or Caching Resolver)</w:t>
      </w:r>
      <w:bookmarkEnd w:id="50"/>
    </w:p>
    <w:p>
      <w:pPr>
        <w:pStyle w:val="BlockText"/>
      </w:pPr>
      <w:r>
        <w:t xml:space="preserve">The information system requests and performs data origin authentication and data integrity verification on the name/address resolution responses the system receives from authoritative sources.</w:t>
      </w:r>
    </w:p>
    <w:p>
      <w:pPr>
        <w:pStyle w:val="Heading5"/>
      </w:pPr>
      <w:bookmarkStart w:id="51" w:name="aws-7"/>
      <w:r>
        <w:t xml:space="preserve">AWS</w:t>
      </w:r>
      <w:bookmarkEnd w:id="51"/>
    </w:p>
    <w:p>
      <w:pPr>
        <w:pStyle w:val="FirstParagraph"/>
      </w:pPr>
      <w:r>
        <w:t xml:space="preserve">The system inherits this control from the FedRAMP Provisional ATO granted to the AWS Cloud dated 1 May 2013 for the following: secure name / address resolution service (recursive or caching resolver)</w:t>
      </w:r>
    </w:p>
    <w:p>
      <w:pPr>
        <w:pStyle w:val="Heading3"/>
      </w:pPr>
      <w:bookmarkStart w:id="52" w:name="Xc27b3101356d1110cc9de1cab270e3fb724f677"/>
      <w:r>
        <w:t xml:space="preserve">SC-22: Architecture And Provisioning For Name / Address Resolution Service</w:t>
      </w:r>
      <w:bookmarkEnd w:id="52"/>
    </w:p>
    <w:p>
      <w:pPr>
        <w:pStyle w:val="BlockText"/>
      </w:pPr>
      <w:r>
        <w:t xml:space="preserve">The information systems that collectively provide name/address resolution service for an organization are fault-tolerant and implement internal/external role separation.</w:t>
      </w:r>
    </w:p>
    <w:p>
      <w:pPr>
        <w:pStyle w:val="Heading5"/>
      </w:pPr>
      <w:bookmarkStart w:id="53" w:name="aws-8"/>
      <w:r>
        <w:t xml:space="preserve">AWS</w:t>
      </w:r>
      <w:bookmarkEnd w:id="53"/>
    </w:p>
    <w:p>
      <w:pPr>
        <w:pStyle w:val="FirstParagraph"/>
      </w:pPr>
      <w:r>
        <w:t xml:space="preserve">The system inherits this control from the FedRAMP Provisional ATO granted to the AWS Cloud dated 1 May 2013 for the following: architecture and provisioning for name / address resolution service.</w:t>
      </w:r>
    </w:p>
    <w:p>
      <w:pPr>
        <w:pStyle w:val="Heading3"/>
      </w:pPr>
      <w:bookmarkStart w:id="54" w:name="sc-39-process-isolation"/>
      <w:r>
        <w:t xml:space="preserve">SC-39: Process Isolation</w:t>
      </w:r>
      <w:bookmarkEnd w:id="54"/>
    </w:p>
    <w:p>
      <w:pPr>
        <w:pStyle w:val="BlockText"/>
      </w:pPr>
      <w:r>
        <w:t xml:space="preserve">The information system maintains a separate execution domain for each executing process.</w:t>
      </w:r>
    </w:p>
    <w:p>
      <w:pPr>
        <w:pStyle w:val="Heading5"/>
      </w:pPr>
      <w:bookmarkStart w:id="55" w:name="civicactions-2"/>
      <w:r>
        <w:t xml:space="preserve">CivicActions</w:t>
      </w:r>
      <w:bookmarkEnd w:id="55"/>
    </w:p>
    <w:p>
      <w:pPr>
        <w:pStyle w:val="FirstParagraph"/>
      </w:pPr>
      <w:r>
        <w:t xml:space="preserve">Process isolation is maintained on the Linux platform. Linux is the only operating system that is part of the boundary.</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6" Target="https://github.com/CivicActions/compliance-docs/" TargetMode="External" /></Relationships>
</file>

<file path=word/_rels/footnotes.xml.rels><?xml version="1.0" encoding="UTF-8"?>
<Relationships xmlns="http://schemas.openxmlformats.org/package/2006/relationships"><Relationship Type="http://schemas.openxmlformats.org/officeDocument/2006/relationships/hyperlink" Id="rId26" Target="https://github.com/CivicActions/compliance-do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2019-02-28T21:58:50Z</dcterms:created>
  <dcterms:modified xsi:type="dcterms:W3CDTF">2019-02-28T21:58:50Z</dcterms:modified>
</cp:coreProperties>
</file>

<file path=docProps/custom.xml><?xml version="1.0" encoding="utf-8"?>
<Properties xmlns="http://schemas.openxmlformats.org/officeDocument/2006/custom-properties" xmlns:vt="http://schemas.openxmlformats.org/officeDocument/2006/docPropsVTypes"/>
</file>