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and communications protection policy and procedures are formally documented in the Department of Education, Handbook for Information Assurance Security Policy (Handbook OCIO-01) and the LINCS SSP. The Department reviews and updates the policy as necessary and has been continually updated since April 2008.</w:t>
      </w:r>
      <w:r>
        <w:t xml:space="preserve"> </w:t>
      </w:r>
      <w:r>
        <w:t xml:space="preserve">This is Agency common control. More data about implementation can be obtained from the Agency common control catalog.</w:t>
      </w:r>
    </w:p>
    <w:p>
      <w:pPr>
        <w:pStyle w:val="Heading3"/>
      </w:pPr>
      <w:bookmarkStart w:id="28" w:name="sc-5-denial-of-service-protection"/>
      <w:r>
        <w:t xml:space="preserve">SC-5: Denial Of Service Protection</w:t>
      </w:r>
      <w:bookmarkEnd w:id="28"/>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30" w:name="drupal"/>
      <w:r>
        <w:t xml:space="preserve">Drupal</w:t>
      </w:r>
      <w:bookmarkEnd w:id="30"/>
    </w:p>
    <w:p>
      <w:pPr>
        <w:pStyle w:val="FirstParagraph"/>
      </w:pPr>
      <w:r>
        <w:t xml:space="preserve">Drupal has a manual ability to block IP addresses in cases where attacks bypass cloud protection. This is managed by CivicActions Operations.</w:t>
      </w:r>
    </w:p>
    <w:p>
      <w:pPr>
        <w:pStyle w:val="Heading5"/>
      </w:pPr>
      <w:bookmarkStart w:id="31" w:name="lincs-1"/>
      <w:r>
        <w:t xml:space="preserve">LINCS</w:t>
      </w:r>
      <w:bookmarkEnd w:id="31"/>
    </w:p>
    <w:p>
      <w:pPr>
        <w:pStyle w:val="FirstParagraph"/>
      </w:pPr>
      <w:r>
        <w:t xml:space="preserve">The LINCS Technology Project system is configured to reduce vulnerabilities in its operating system and applications to protect against Denial of Service (DoS) attacks.</w:t>
      </w:r>
      <w:r>
        <w:t xml:space="preserve"> </w:t>
      </w:r>
      <w:r>
        <w:t xml:space="preserve">The LINCS support staff ensures the system is protected against or limits the effect of DoS attacks as specified in the Department of Education, Handbook for Information Security Incident Response and Reporting Procedures (Handbook OCIO-14).</w:t>
      </w:r>
    </w:p>
    <w:p>
      <w:pPr>
        <w:pStyle w:val="Heading3"/>
      </w:pPr>
      <w:bookmarkStart w:id="32" w:name="sc-7-boundary-protection"/>
      <w:r>
        <w:t xml:space="preserve">SC-7: Boundary Protection</w:t>
      </w:r>
      <w:bookmarkEnd w:id="32"/>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3" w:name="drupal-1"/>
      <w:r>
        <w:t xml:space="preserve">Drupal</w:t>
      </w:r>
      <w:bookmarkEnd w:id="33"/>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5"/>
      </w:pPr>
      <w:bookmarkStart w:id="34" w:name="lincs-2"/>
      <w:r>
        <w:t xml:space="preserve">LINCS</w:t>
      </w:r>
      <w:bookmarkEnd w:id="34"/>
    </w:p>
    <w:p>
      <w:pPr>
        <w:pStyle w:val="FirstParagraph"/>
      </w:pPr>
      <w:r>
        <w:t xml:space="preserve">The LINCS Technology Project system has monitored and controlled communications at the external boundary of the information system and at key internal boundaries within the system, where appropriate. The LINCS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a"/>
      <w:r>
        <w:t xml:space="preserve">a</w:t>
      </w:r>
      <w:bookmarkEnd w:id="35"/>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7" w:name="b"/>
      <w:r>
        <w:t xml:space="preserve">b</w:t>
      </w:r>
      <w:bookmarkEnd w:id="37"/>
    </w:p>
    <w:p>
      <w:pPr>
        <w:pStyle w:val="Heading5"/>
      </w:pPr>
      <w:bookmarkStart w:id="38" w:name="aws-3"/>
      <w:r>
        <w:t xml:space="preserve">AWS</w:t>
      </w:r>
      <w:bookmarkEnd w:id="38"/>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9" w:name="c"/>
      <w:r>
        <w:t xml:space="preserve">c</w:t>
      </w:r>
      <w:bookmarkEnd w:id="39"/>
    </w:p>
    <w:p>
      <w:pPr>
        <w:pStyle w:val="Heading5"/>
      </w:pPr>
      <w:bookmarkStart w:id="40" w:name="aws-4"/>
      <w:r>
        <w:t xml:space="preserve">AWS</w:t>
      </w:r>
      <w:bookmarkEnd w:id="40"/>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41" w:name="X75181287bda87b8178bfcd83d303326b30359a8"/>
      <w:r>
        <w:t xml:space="preserve">SC-12: Cryptographic Key Establishment And Management</w:t>
      </w:r>
      <w:bookmarkEnd w:id="41"/>
    </w:p>
    <w:p>
      <w:pPr>
        <w:pStyle w:val="BlockText"/>
      </w:pPr>
      <w:r>
        <w:t xml:space="preserve">The organization establishes and manages cryptographic keys for required cryptography employed within the information system in accordance with [Assignment: organization-defined requirements for key generation, distribution, storage, access, and destruction].</w:t>
      </w:r>
    </w:p>
    <w:p>
      <w:pPr>
        <w:pStyle w:val="Heading5"/>
      </w:pPr>
      <w:bookmarkStart w:id="42" w:name="lincs-3"/>
      <w:r>
        <w:t xml:space="preserve">LINCS</w:t>
      </w:r>
      <w:bookmarkEnd w:id="42"/>
    </w:p>
    <w:p>
      <w:pPr>
        <w:pStyle w:val="FirstParagraph"/>
      </w:pPr>
      <w:r>
        <w:t xml:space="preserve">Use of cryptographic key management for the LINCS system is not in use for at the time of implementation for authentication. CivicActions does not utilize customer agency supplied PIV credentials for access to customer instances of the LINCS. Access enforcement and authentication requirements for LINCS are described in AC-2 &amp; IA-2. AWS platform does not utilize or manage cryptographic keys within the ACE boundary.</w:t>
      </w:r>
    </w:p>
    <w:p>
      <w:pPr>
        <w:pStyle w:val="Heading3"/>
      </w:pPr>
      <w:bookmarkStart w:id="43" w:name="sc-13-cryptographic-protection"/>
      <w:r>
        <w:t xml:space="preserve">SC-13: Cryptographic Protection</w:t>
      </w:r>
      <w:bookmarkEnd w:id="43"/>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44" w:name="aws-5"/>
      <w:r>
        <w:t xml:space="preserve">AWS</w:t>
      </w:r>
      <w:bookmarkEnd w:id="44"/>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5" w:name="civicactions-1"/>
      <w:r>
        <w:t xml:space="preserve">CivicActions</w:t>
      </w:r>
      <w:bookmarkEnd w:id="45"/>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volumnes)</w:t>
      </w:r>
    </w:p>
    <w:p>
      <w:pPr>
        <w:pStyle w:val="Heading3"/>
      </w:pPr>
      <w:bookmarkStart w:id="46" w:name="sc-15-collaborative-computing-devices"/>
      <w:r>
        <w:t xml:space="preserve">SC-15: Collaborative Computing Devices</w:t>
      </w:r>
      <w:bookmarkEnd w:id="46"/>
    </w:p>
    <w:p>
      <w:pPr>
        <w:pStyle w:val="BlockText"/>
      </w:pPr>
      <w:r>
        <w:t xml:space="preserve">The information system:</w:t>
      </w:r>
      <w:r>
        <w:t xml:space="preserve"> </w:t>
      </w:r>
      <w:r>
        <w:t xml:space="preserve">a. Prohibits remote activation of collaborative computing devices with the</w:t>
      </w:r>
      <w:r>
        <w:t xml:space="preserve"> </w:t>
      </w:r>
      <w:r>
        <w:t xml:space="preserve">following exceptions: [Assignment: organization-defined exceptions where remote activation is to be allowed]; and</w:t>
      </w:r>
      <w:r>
        <w:t xml:space="preserve"> </w:t>
      </w:r>
      <w:r>
        <w:t xml:space="preserve">b. Provides an explicit indication of use to users physically present at the</w:t>
      </w:r>
      <w:r>
        <w:t xml:space="preserve"> </w:t>
      </w:r>
      <w:r>
        <w:t xml:space="preserve">devices.</w:t>
      </w:r>
    </w:p>
    <w:p>
      <w:pPr>
        <w:pStyle w:val="Heading5"/>
      </w:pPr>
      <w:bookmarkStart w:id="47" w:name="lincs-4"/>
      <w:r>
        <w:t xml:space="preserve">LINCS</w:t>
      </w:r>
      <w:bookmarkEnd w:id="47"/>
    </w:p>
    <w:p>
      <w:pPr>
        <w:pStyle w:val="FirstParagraph"/>
      </w:pPr>
      <w:r>
        <w:t xml:space="preserve">This control is not applicable, as the LINCS system does not employ any collaborative computing devices.</w:t>
      </w:r>
    </w:p>
    <w:p>
      <w:pPr>
        <w:pStyle w:val="Heading3"/>
      </w:pPr>
      <w:bookmarkStart w:id="48" w:name="Xf823e67d9c8bb0305ef9f9ae38ddbece62e2c44"/>
      <w:r>
        <w:t xml:space="preserve">SC-20: Secure Name / Address Resolution Service (Authoritative Source)</w:t>
      </w:r>
      <w:bookmarkEnd w:id="48"/>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9" w:name="aws-6"/>
      <w:r>
        <w:t xml:space="preserve">AWS</w:t>
      </w:r>
      <w:bookmarkEnd w:id="49"/>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50" w:name="X3dd238040b2f0519ba63ddd322789e35e17be9a"/>
      <w:r>
        <w:t xml:space="preserve">SC-21: Secure Name / Address Resolution Service (Recursive Or Caching Resolver)</w:t>
      </w:r>
      <w:bookmarkEnd w:id="50"/>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51" w:name="aws-7"/>
      <w:r>
        <w:t xml:space="preserve">AWS</w:t>
      </w:r>
      <w:bookmarkEnd w:id="51"/>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52" w:name="Xc27b3101356d1110cc9de1cab270e3fb724f677"/>
      <w:r>
        <w:t xml:space="preserve">SC-22: Architecture And Provisioning For Name / Address Resolution Service</w:t>
      </w:r>
      <w:bookmarkEnd w:id="52"/>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53" w:name="aws-8"/>
      <w:r>
        <w:t xml:space="preserve">AWS</w:t>
      </w:r>
      <w:bookmarkEnd w:id="53"/>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54" w:name="sc-39-process-isolation"/>
      <w:r>
        <w:t xml:space="preserve">SC-39: Process Isolation</w:t>
      </w:r>
      <w:bookmarkEnd w:id="54"/>
    </w:p>
    <w:p>
      <w:pPr>
        <w:pStyle w:val="BlockText"/>
      </w:pPr>
      <w:r>
        <w:t xml:space="preserve">The information system maintains a separate execution domain for each executing process.</w:t>
      </w:r>
    </w:p>
    <w:p>
      <w:pPr>
        <w:pStyle w:val="Heading5"/>
      </w:pPr>
      <w:bookmarkStart w:id="55" w:name="civicactions-2"/>
      <w:r>
        <w:t xml:space="preserve">CivicActions</w:t>
      </w:r>
      <w:bookmarkEnd w:id="55"/>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2019-01-18T16:02:19Z</dcterms:created>
  <dcterms:modified xsi:type="dcterms:W3CDTF">2019-01-18T16:02:19Z</dcterms:modified>
</cp:coreProperties>
</file>

<file path=docProps/custom.xml><?xml version="1.0" encoding="utf-8"?>
<Properties xmlns="http://schemas.openxmlformats.org/officeDocument/2006/custom-properties" xmlns:vt="http://schemas.openxmlformats.org/officeDocument/2006/docPropsVTypes"/>
</file>