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4569eb5fcd13585a93b272e0a5ded52ee0dd8ee"/>
      <w:r>
        <w:t xml:space="preserve">Reusable Component Library System Security Plan</w:t>
      </w:r>
      <w:bookmarkEnd w:id="20"/>
    </w:p>
    <w:p>
      <w:pPr>
        <w:pStyle w:val="Heading1"/>
      </w:pPr>
      <w:bookmarkStart w:id="21" w:name="nist-sp-800-53-revision-4-privacy"/>
      <w:r>
        <w:t xml:space="preserve">NIST SP 800-53 Revision 4 Privacy</w:t>
      </w:r>
      <w:bookmarkEnd w:id="21"/>
    </w:p>
    <w:p>
      <w:pPr>
        <w:pStyle w:val="Heading2"/>
      </w:pPr>
      <w:bookmarkStart w:id="22" w:name="tr-transparency"/>
      <w:r>
        <w:t xml:space="preserve">TR: Transparency</w:t>
      </w:r>
      <w:bookmarkEnd w:id="22"/>
    </w:p>
    <w:p>
      <w:pPr>
        <w:pStyle w:val="Heading3"/>
      </w:pPr>
      <w:bookmarkStart w:id="23" w:name="tr-1-privacy-notice"/>
      <w:r>
        <w:t xml:space="preserve">TR-1: PRIVACY NOTICE</w:t>
      </w:r>
      <w:bookmarkEnd w:id="23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Provides effective notice to the public and to individuals regarding:</w:t>
      </w:r>
      <w:r>
        <w:t xml:space="preserve"> </w:t>
      </w:r>
      <w:r>
        <w:t xml:space="preserve">(i) its activities that</w:t>
      </w:r>
      <w:r>
        <w:t xml:space="preserve"> </w:t>
      </w:r>
      <w:r>
        <w:t xml:space="preserve">impact privacy, including its collection, use, sharing, safeguarding,</w:t>
      </w:r>
      <w:r>
        <w:t xml:space="preserve"> </w:t>
      </w:r>
      <w:r>
        <w:t xml:space="preserve">maintenance, and disposal</w:t>
      </w:r>
      <w:r>
        <w:t xml:space="preserve"> </w:t>
      </w:r>
      <w:r>
        <w:t xml:space="preserve">of personally identifiable information (PII); (ii) authority for collecting</w:t>
      </w:r>
      <w:r>
        <w:t xml:space="preserve"> </w:t>
      </w:r>
      <w:r>
        <w:t xml:space="preserve">PII; (iii) the choices, if</w:t>
      </w:r>
      <w:r>
        <w:t xml:space="preserve"> </w:t>
      </w:r>
      <w:r>
        <w:t xml:space="preserve">any, individuals may have regarding how the organization uses PII and</w:t>
      </w:r>
      <w:r>
        <w:t xml:space="preserve"> </w:t>
      </w:r>
      <w:r>
        <w:t xml:space="preserve">the consequences of</w:t>
      </w:r>
      <w:r>
        <w:t xml:space="preserve"> </w:t>
      </w:r>
      <w:r>
        <w:t xml:space="preserve">exercising or not exercising those choices; and (iv) the ability to</w:t>
      </w:r>
      <w:r>
        <w:t xml:space="preserve"> </w:t>
      </w:r>
      <w:r>
        <w:t xml:space="preserve">access and have PII amended</w:t>
      </w:r>
      <w:r>
        <w:t xml:space="preserve"> </w:t>
      </w:r>
      <w:r>
        <w:t xml:space="preserve">or corrected if necessary;</w:t>
      </w:r>
      <w:r>
        <w:t xml:space="preserve"> </w:t>
      </w:r>
      <w:r>
        <w:t xml:space="preserve">b. Describes: (i) the PII the organization collects and the purpose(s)</w:t>
      </w:r>
      <w:r>
        <w:t xml:space="preserve"> </w:t>
      </w:r>
      <w:r>
        <w:t xml:space="preserve">for which it collects that</w:t>
      </w:r>
      <w:r>
        <w:t xml:space="preserve"> </w:t>
      </w:r>
      <w:r>
        <w:t xml:space="preserve">information; (ii) how the organization uses PII internally; (iii) whether</w:t>
      </w:r>
      <w:r>
        <w:t xml:space="preserve"> </w:t>
      </w:r>
      <w:r>
        <w:t xml:space="preserve">the organization shares</w:t>
      </w:r>
      <w:r>
        <w:t xml:space="preserve"> </w:t>
      </w:r>
      <w:r>
        <w:t xml:space="preserve">PII with external entities, the categories of those entities, and the</w:t>
      </w:r>
      <w:r>
        <w:t xml:space="preserve"> </w:t>
      </w:r>
      <w:r>
        <w:t xml:space="preserve">purposes for such sharing;</w:t>
      </w:r>
      <w:r>
        <w:t xml:space="preserve"> </w:t>
      </w:r>
      <w:r>
        <w:t xml:space="preserve">(iv) whether individuals have the ability to consent to specific uses</w:t>
      </w:r>
      <w:r>
        <w:t xml:space="preserve"> </w:t>
      </w:r>
      <w:r>
        <w:t xml:space="preserve">or sharing of PII and how</w:t>
      </w:r>
      <w:r>
        <w:t xml:space="preserve"> </w:t>
      </w:r>
      <w:r>
        <w:t xml:space="preserve">to exercise any such consent; (v) how individuals may obtain access</w:t>
      </w:r>
      <w:r>
        <w:t xml:space="preserve"> </w:t>
      </w:r>
      <w:r>
        <w:t xml:space="preserve">to PII; and (vi) how the</w:t>
      </w:r>
      <w:r>
        <w:t xml:space="preserve"> </w:t>
      </w:r>
      <w:r>
        <w:t xml:space="preserve">PII will be protected; and</w:t>
      </w:r>
      <w:r>
        <w:t xml:space="preserve"> </w:t>
      </w:r>
      <w:r>
        <w:t xml:space="preserve">c. Revises its public notices to reflect changes in practice or policy</w:t>
      </w:r>
      <w:r>
        <w:t xml:space="preserve"> </w:t>
      </w:r>
      <w:r>
        <w:t xml:space="preserve">that affect PII or changes in</w:t>
      </w:r>
      <w:r>
        <w:t xml:space="preserve"> </w:t>
      </w:r>
      <w:r>
        <w:t xml:space="preserve">its activities that impact privacy, before or as soon as practicable</w:t>
      </w:r>
      <w:r>
        <w:t xml:space="preserve"> </w:t>
      </w:r>
      <w:r>
        <w:t xml:space="preserve">after the change.</w:t>
      </w:r>
      <w:r>
        <w:t xml:space="preserve">”</w:t>
      </w:r>
    </w:p>
    <w:p>
      <w:pPr>
        <w:pStyle w:val="Heading5"/>
      </w:pPr>
      <w:bookmarkStart w:id="24" w:name="privacy"/>
      <w:r>
        <w:t xml:space="preserve">Privacy</w:t>
      </w:r>
      <w:bookmarkEnd w:id="24"/>
    </w:p>
    <w:p>
      <w:pPr>
        <w:pStyle w:val="FirstParagraph"/>
      </w:pPr>
      <w:r>
        <w:t xml:space="preserve">{{ organization_name }} publishes a privacy policy in the footer of every page. Further, upon login,</w:t>
      </w:r>
      <w:r>
        <w:t xml:space="preserve"> </w:t>
      </w:r>
      <w:r>
        <w:t xml:space="preserve">the user must accept a detailed Terms and Conditions of Use.</w:t>
      </w:r>
    </w:p>
    <w:p>
      <w:pPr>
        <w:pStyle w:val="Heading3"/>
      </w:pPr>
      <w:bookmarkStart w:id="25" w:name="X00439c23c0d5b170b83f352bd0c5977894fb2f5"/>
      <w:r>
        <w:t xml:space="preserve">TR-2: SYSTEM OF RECORDS NOTICES AND PRIVACY ACT STATEMENTS</w:t>
      </w:r>
      <w:bookmarkEnd w:id="25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Publishes System of Records Notices (SORNs) in the Federal Register,</w:t>
      </w:r>
      <w:r>
        <w:t xml:space="preserve"> </w:t>
      </w:r>
      <w:r>
        <w:t xml:space="preserve">subject to required</w:t>
      </w:r>
      <w:r>
        <w:t xml:space="preserve"> </w:t>
      </w:r>
      <w:r>
        <w:t xml:space="preserve">oversight processes, for systems containing personally identifiable</w:t>
      </w:r>
      <w:r>
        <w:t xml:space="preserve"> </w:t>
      </w:r>
      <w:r>
        <w:t xml:space="preserve">information (PII);</w:t>
      </w:r>
      <w:r>
        <w:t xml:space="preserve"> </w:t>
      </w:r>
      <w:r>
        <w:t xml:space="preserve">b. Keeps SORNs current; and</w:t>
      </w:r>
      <w:r>
        <w:t xml:space="preserve"> </w:t>
      </w:r>
      <w:r>
        <w:t xml:space="preserve">c. Includes Privacy Act Statements on its forms that collect PII, or on</w:t>
      </w:r>
      <w:r>
        <w:t xml:space="preserve"> </w:t>
      </w:r>
      <w:r>
        <w:t xml:space="preserve">separate forms that can be</w:t>
      </w:r>
      <w:r>
        <w:t xml:space="preserve"> </w:t>
      </w:r>
      <w:r>
        <w:t xml:space="preserve">retained by individuals, to provide additional formal notice to individuals</w:t>
      </w:r>
      <w:r>
        <w:t xml:space="preserve"> </w:t>
      </w:r>
      <w:r>
        <w:t xml:space="preserve">from whom the</w:t>
      </w:r>
      <w:r>
        <w:t xml:space="preserve"> </w:t>
      </w:r>
      <w:r>
        <w:t xml:space="preserve">information is being collected.</w:t>
      </w:r>
      <w:r>
        <w:t xml:space="preserve">”</w:t>
      </w:r>
    </w:p>
    <w:p>
      <w:pPr>
        <w:pStyle w:val="Heading5"/>
      </w:pPr>
      <w:bookmarkStart w:id="26" w:name="privacy-1"/>
      <w:r>
        <w:t xml:space="preserve">Privacy</w:t>
      </w:r>
      <w:bookmarkEnd w:id="26"/>
    </w:p>
    <w:p>
      <w:pPr>
        <w:pStyle w:val="FirstParagraph"/>
      </w:pPr>
      <w:r>
        <w:t xml:space="preserve">{{ organization_name }} does not collect or maintain PII and therefore does not publish a SORN.</w:t>
      </w:r>
    </w:p>
    <w:p>
      <w:pPr>
        <w:pStyle w:val="Heading3"/>
      </w:pPr>
      <w:bookmarkStart w:id="27" w:name="X0b7aa0d460fb030f2067ca8b3740803deb6d8a7"/>
      <w:r>
        <w:t xml:space="preserve">TR-3: DISSEMINATION OF PRIVACY PROGRAM INFORMATION</w:t>
      </w:r>
      <w:bookmarkEnd w:id="27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Ensures that the public has access to information about its privacy activities and is able to</w:t>
      </w:r>
      <w:r>
        <w:t xml:space="preserve"> </w:t>
      </w:r>
      <w:r>
        <w:t xml:space="preserve">communicate with its Senior Agency Official for Privacy (SAOP)/Chief Privacy Officer</w:t>
      </w:r>
      <w:r>
        <w:t xml:space="preserve"> </w:t>
      </w:r>
      <w:r>
        <w:t xml:space="preserve">(CPO); and</w:t>
      </w:r>
      <w:r>
        <w:t xml:space="preserve"> </w:t>
      </w:r>
      <w:r>
        <w:t xml:space="preserve">b. Ensures that its privacy practices are publicly available through organizational websites or</w:t>
      </w:r>
      <w:r>
        <w:t xml:space="preserve"> </w:t>
      </w:r>
      <w:r>
        <w:t xml:space="preserve">otherwise.</w:t>
      </w:r>
      <w:r>
        <w:t xml:space="preserve">”</w:t>
      </w:r>
    </w:p>
    <w:p>
      <w:pPr>
        <w:pStyle w:val="Heading5"/>
      </w:pPr>
      <w:bookmarkStart w:id="28" w:name="privacy-2"/>
      <w:r>
        <w:t xml:space="preserve">Privacy</w:t>
      </w:r>
      <w:bookmarkEnd w:id="28"/>
    </w:p>
    <w:p>
      <w:pPr>
        <w:pStyle w:val="FirstParagraph"/>
      </w:pPr>
      <w:r>
        <w:t xml:space="preserve">{{ organization_name }} publishes a privacy policy in the footer of every page. Further, upon login,</w:t>
      </w:r>
      <w:r>
        <w:t xml:space="preserve"> </w:t>
      </w:r>
      <w:r>
        <w:t xml:space="preserve">the user must accept a detailed Terms and Conditions of Use.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2019-07-09T23:05:30Z</dcterms:created>
  <dcterms:modified xsi:type="dcterms:W3CDTF">2019-07-09T23:05:30Z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