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office: 4884 Beresford Circle, West Palm Beach, Florida 33417.</w:t>
      </w:r>
    </w:p>
    <w:p>
      <w:r>
        <w:t xml:space="preserve">ARTICLE II — PURPOSE</w:t>
      </w:r>
    </w:p>
    <w:p>
      <w:r>
        <w:t xml:space="preserve">Section 2.01 Exempt Purpose. The corporation is organized exclusively for charitable and educational purposes.</w:t>
      </w:r>
    </w:p>
    <w:p>
      <w:r>
        <w:t xml:space="preserve">ARTICLE III — BOARD OF DIRECTORS</w:t>
      </w:r>
    </w:p>
    <w:p>
      <w:r>
        <w:t xml:space="preserve">Section 3.00 Board composition baseline: 3 to 9 directors; term length 3 years; minimum 4 meetings/year.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Elections and Appointments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ARTICLE IV — OFFICERS</w:t>
      </w:r>
    </w:p>
    <w:p>
      <w:r>
        <w:t xml:space="preserve">Officers include at minimum a Chair, Treasurer, and Executive Director.</w:t>
      </w:r>
    </w:p>
    <w:p>
      <w:r>
        <w:t xml:space="preserve">ARTICLE V — COMMITTEES</w:t>
      </w:r>
    </w:p>
    <w:p>
      <w:r>
        <w:t xml:space="preserve">Standing and ad hoc committees may be formed by board resolution.</w:t>
      </w:r>
    </w:p>
    <w:p>
      <w:r>
        <w:t xml:space="preserve">ARTICLE VI — CONFLICTS OF INTEREST</w:t>
      </w:r>
    </w:p>
    <w:p>
      <w:r>
        <w:t xml:space="preserve">Conflict review aligns with COI policy and ownership threshold 5%.</w:t>
      </w:r>
    </w:p>
    <w:p>
      <w:r>
        <w:t xml:space="preserve">ARTICLE VII — FISCAL MANAGEMENT</w:t>
      </w:r>
    </w:p>
    <w:p>
      <w:r>
        <w:t xml:space="preserve">Fiscal year: January 1 – December 31.</w:t>
      </w:r>
    </w:p>
    <w:p>
      <w:r>
        <w:t xml:space="preserve">ARTICLE VIII — AMENDMENTS</w:t>
      </w:r>
    </w:p>
    <w:p>
      <w:r>
        <w:t xml:space="preserve">Bylaws may be amended by two-thirds vote of directors then in office.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