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RETENTION PRINCIPLES</w:t>
      </w:r>
    </w:p>
    <w:p>
      <w:r>
        <w:t xml:space="preserve">Standard retention period: 7 years.</w:t>
      </w:r>
    </w:p>
    <w:p>
      <w:r>
        <w:t xml:space="preserve">Short retention period: 3 years.</w:t>
      </w:r>
    </w:p>
    <w:p>
      <w:r>
        <w:t xml:space="preserve">SECTION 2 — RETENTION SCHEDULE TABLES</w:t>
      </w:r>
    </w:p>
    <w:p>
      <w:r>
        <w:t xml:space="preserve">TABLE A — PERMANENT RECORDS</w:t>
      </w:r>
    </w:p>
    <w:p>
      <w:r>
        <w:t xml:space="preserve">Permanent 1: Articles of Incorporation</w:t>
      </w:r>
    </w:p>
    <w:p>
      <w:r>
        <w:t xml:space="preserve">Permanent 2: Bylaws and Amendments</w:t>
      </w:r>
    </w:p>
    <w:p>
      <w:r>
        <w:t xml:space="preserve">Permanent 3: Board Minutes</w:t>
      </w:r>
    </w:p>
    <w:p>
      <w:r>
        <w:t xml:space="preserve">Permanent 4: IRS Determination Letters</w:t>
      </w:r>
    </w:p>
    <w:p>
      <w:r>
        <w:t xml:space="preserve">Permanent 5: Major IP Assignments</w:t>
      </w:r>
    </w:p>
    <w:p>
      <w:r>
        <w:t xml:space="preserve">TABLE B — SEVEN-YEAR RECORDS</w:t>
      </w:r>
    </w:p>
    <w:p>
      <w:r>
        <w:t xml:space="preserve">Seven-Year 1: General ledger</w:t>
      </w:r>
    </w:p>
    <w:p>
      <w:r>
        <w:t xml:space="preserve">Seven-Year 2: Audits</w:t>
      </w:r>
    </w:p>
    <w:p>
      <w:r>
        <w:t xml:space="preserve">Seven-Year 3: Bank statements</w:t>
      </w:r>
    </w:p>
    <w:p>
      <w:r>
        <w:t xml:space="preserve">Seven-Year 4: Grant records</w:t>
      </w:r>
    </w:p>
    <w:p>
      <w:r>
        <w:t xml:space="preserve">Seven-Year 5: Payroll tax filings</w:t>
      </w:r>
    </w:p>
    <w:p>
      <w:r>
        <w:t xml:space="preserve">TABLE C — THREE-TO-SEVEN-YEAR RECORDS</w:t>
      </w:r>
    </w:p>
    <w:p>
      <w:r>
        <w:t xml:space="preserve">3-7 Year 1: Routine correspondence</w:t>
      </w:r>
    </w:p>
    <w:p>
      <w:r>
        <w:t xml:space="preserve">3-7 Year 2: Draft contracts</w:t>
      </w:r>
    </w:p>
    <w:p>
      <w:r>
        <w:t xml:space="preserve">3-7 Year 3: Non-material procurement records</w:t>
      </w:r>
    </w:p>
    <w:p>
      <w:r>
        <w:t xml:space="preserve">3-7 Year 4: Internal memos</w:t>
      </w:r>
    </w:p>
    <w:p>
      <w:r>
        <w:t xml:space="preserve">SECTION 3 — LEGAL HOLD</w:t>
      </w:r>
    </w:p>
    <w:p>
      <w:r>
        <w:t xml:space="preserve">Document destruction is suspended upon legal hold notice.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