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DATA CLASSIFICATION TABLE</w:t>
      </w:r>
    </w:p>
    <w:p>
      <w:r>
        <w:t xml:space="preserve">Class 1 | Public | Definition: No harm if disclosed | Example: Publishable reports</w:t>
      </w:r>
    </w:p>
    <w:p>
      <w:r>
        <w:t xml:space="preserve">Class 2 | Internal | Definition: Limited operational sensitivity | Example: Planning docs</w:t>
      </w:r>
    </w:p>
    <w:p>
      <w:r>
        <w:t xml:space="preserve">Class 3 | Confidential | Definition: High sensitivity | Example: Donor and personnel data</w:t>
      </w:r>
    </w:p>
    <w:p>
      <w:r>
        <w:t xml:space="preserve">Class 4 | Restricted | Definition: Maximum sensitivity | Example: Credentials and legal files</w:t>
      </w:r>
    </w:p>
    <w:p>
      <w:r>
        <w:t xml:space="preserve">SECTION 2 — DATA SUBJECT RIGHTS TABLE</w:t>
      </w:r>
    </w:p>
    <w:p>
      <w:r>
        <w:t xml:space="preserve">Right 1: Access</w:t>
      </w:r>
    </w:p>
    <w:p>
      <w:r>
        <w:t xml:space="preserve">Right 2: Correction</w:t>
      </w:r>
    </w:p>
    <w:p>
      <w:r>
        <w:t xml:space="preserve">Right 3: Deletion</w:t>
      </w:r>
    </w:p>
    <w:p>
      <w:r>
        <w:t xml:space="preserve">Right 4: Portability</w:t>
      </w:r>
    </w:p>
    <w:p>
      <w:r>
        <w:t xml:space="preserve">Right 5: Restriction</w:t>
      </w:r>
    </w:p>
    <w:p>
      <w:r>
        <w:t xml:space="preserve">Right 6: Objection</w:t>
      </w:r>
    </w:p>
    <w:p>
      <w:r>
        <w:t xml:space="preserve">Right 7: Complaint</w:t>
      </w:r>
    </w:p>
    <w:p>
      <w:r>
        <w:t xml:space="preserve">SECTION 3 — SECURITY CONTROLS TABLE</w:t>
      </w:r>
    </w:p>
    <w:p>
      <w:r>
        <w:t xml:space="preserve">Control 1: MFA for administrator access</w:t>
      </w:r>
    </w:p>
    <w:p>
      <w:r>
        <w:t xml:space="preserve">Control 2: Least-privilege authorization model</w:t>
      </w:r>
    </w:p>
    <w:p>
      <w:r>
        <w:t xml:space="preserve">Control 3: Quarterly access review</w:t>
      </w:r>
    </w:p>
    <w:p>
      <w:r>
        <w:t xml:space="preserve">Control 4: Encryption at rest and in transit</w:t>
      </w:r>
    </w:p>
    <w:p>
      <w:r>
        <w:t xml:space="preserve">Control 5: Endpoint hardening and patch management</w:t>
      </w:r>
    </w:p>
    <w:p>
      <w:r>
        <w:t xml:space="preserve">Control 6: Incident response runbook and escalation chain</w:t>
      </w:r>
    </w:p>
    <w:p>
      <w:r>
        <w:t xml:space="preserve">Control 7: Backup and recovery drills</w:t>
      </w:r>
    </w:p>
    <w:p>
      <w:r>
        <w:t xml:space="preserve">Control 8: Vendor security due diligence</w:t>
      </w:r>
    </w:p>
    <w:p>
      <w:r>
        <w:t xml:space="preserve">Control 9: Audit logging and retention</w:t>
      </w:r>
    </w:p>
    <w:p>
      <w:r>
        <w:t xml:space="preserve">Control 10: Security awareness training</w:t>
      </w:r>
    </w:p>
    <w:p>
      <w:r>
        <w:t xml:space="preserve">SECTION 4 — INCIDENT RESPONSE</w:t>
      </w:r>
    </w:p>
    <w:p>
      <w:r>
        <w:t xml:space="preserve">Primary legal/security contact: NCerbone@civicos-institute.org; operations contact: Burt@civicos-institute.org.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sectPr>
      <w:pgSz w:w="12240" w:h="15840"/>
      <w:pgMar w:top="1440" w:right="1440" w:bottom="1440" w:left="1440"/>
    </w:sectPr>
  </w:body>
</w:document>
</file>