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1B3A6B"/>
          <w:sz w:val="52"/>
          <w:szCs w:val="52"/>
        </w:rPr>
        <w:t xml:space="preserve">Board Intelligence Brief</w:t>
      </w:r>
    </w:p>
    <w:p>
      <w:pPr>
        <w:spacing w:after="40" w:before="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February 27, 2026</w:t>
      </w:r>
    </w:p>
    <w:p>
      <w:pPr>
        <w:spacing w:after="0" w:before="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Automated institutional intelligence — prepared by Burt Prime</w:t>
      </w:r>
    </w:p>
    <w:p>
      <w:pPr>
        <w:pBdr>
          <w:bottom w:val="single" w:color="1B3A6B" w:sz="6" w:space="1"/>
        </w:pBdr>
        <w:spacing w:after="16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EXECUTIVE SUMMARY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Three high-priority signals this cycle: AI governance conflict (Anthropic/Pentagon), govtech commercialization pressure (Infocap), and civil-liberties/surveillance accountability risk (California ALPR network).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Board priority this week: HIGH. Immediate action recommended on principles memo for acceptable-use boundaries in defense AI.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Website and analytics pipeline live; awaiting first real traffic data. CRM operational with hourly email sync active.</w:t>
      </w:r>
    </w:p>
    <w:p>
      <w:pPr>
        <w:spacing w:after="0" w:before="80"/>
      </w:pPr>
      <w:r>
        <w:t xml:space="preserve"/>
      </w:r>
    </w:p>
    <w:p>
      <w:pPr>
        <w:pBdr>
          <w:bottom w:val="single" w:color="1B3A6B" w:sz="6" w:space="1"/>
        </w:pBdr>
        <w:spacing w:after="16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SIGNAL INTELLIGENCE</w:t>
      </w:r>
    </w:p>
    <w:p>
      <w:pPr>
        <w:spacing w:after="1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3 board-ready signals this cycle · Source: Google Alerts + GNews · Scored by Qwen3.5-27B local inference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1.  Anthropic Rejects Pentagon Demand to Remove AI Safeguards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Source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NPR / Politico / Bloomberg / NYT  </w:t>
            </w:r>
            <w:hyperlink w:history="1" r:id="rId3neiwffarrkntikvrhkus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→ Read article</w:t>
              </w:r>
            </w:hyperlink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Related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CFR — The AI Sovereignty Paradox at Home and Abroad  </w:t>
            </w:r>
            <w:hyperlink w:history="1" r:id="rIdqj8q0jr3zic6629upcewa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→ Watch</w:t>
              </w:r>
            </w:hyperlink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Why it matters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Sets precedent for guardrails in defense AI. Anthropic is holding its acceptable-use policy against Pentagon pressure — the outcome defines the norm for all civic AI deployments.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Risk / Opportunity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Risk: policy conflict could restrict AI tooling in government-adjacent civic work. Opportunity: CivicOS can lead on governance framing and publish a principled position memo.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392B"/>
                <w:sz w:val="19"/>
                <w:szCs w:val="19"/>
              </w:rPr>
              <w:t xml:space="preserve">Next Step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Draft a principles memo on acceptable-use boundaries for AI in defense and civic contexts.</w:t>
            </w:r>
          </w:p>
        </w:tc>
      </w:tr>
    </w:tbl>
    <w:p>
      <w:pPr>
        <w:spacing w:after="80" w:before="24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2.  Infocap Launches MPVaaS, TRUST, and EASY for Government AI Modernization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Source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Citizen Times / Press Release  </w:t>
            </w:r>
            <w:hyperlink w:history="1" r:id="rIdyn_-ver11adv5scbobtfe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→ Read article</w:t>
              </w:r>
            </w:hyperlink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Related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No related video this cycle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Why it matters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Vendor push into public-sector AI stack. Procurement hype cycle is accelerating in government healthcare and civic programs.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Risk / Opportunity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Risk: organizations adopt unvetted AI tools under modernization pressure. Opportunity: CivicOS can publish an objective vendor evaluation rubric for civic AI procurement.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392B"/>
                <w:sz w:val="19"/>
                <w:szCs w:val="19"/>
              </w:rPr>
              <w:t xml:space="preserve">Next Step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Create a rapid vendor due-diligence checklist for civic AI procurement decisions.</w:t>
            </w:r>
          </w:p>
        </w:tc>
      </w:tr>
    </w:tbl>
    <w:p>
      <w:pPr>
        <w:spacing w:after="80" w:before="24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3.  He Saw an Abandoned Trailer. Then He Uncovered a Surveillance Network on California's Border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Source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CalMatters  </w:t>
            </w:r>
            <w:hyperlink w:history="1" r:id="rId4fmd9xtmujvcbbkkyeniu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→ Read article</w:t>
              </w:r>
            </w:hyperlink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Related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Brookings Institution — Governance &amp; Technology  </w:t>
            </w:r>
            <w:hyperlink w:history="1" r:id="rId9uu2oeyotn8_8o4mkmj2m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→ Watch</w:t>
              </w:r>
            </w:hyperlink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Why it matters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Civil-liberties and accountability pressure is rising around surveillance infrastructure. 40+ license plate readers feeding data to federal agencies without public oversight.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Risk / Opportunity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Risk: public trust erosion if civic organizations are silent. Opportunity: CivicOS can advance transparency and oversight standards work.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392B"/>
                <w:sz w:val="19"/>
                <w:szCs w:val="19"/>
              </w:rPr>
              <w:t xml:space="preserve">Next Step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Prepare oversight-focused briefing language on surveillance accountability for civic orgs.</w:t>
            </w:r>
          </w:p>
        </w:tc>
      </w:tr>
    </w:tbl>
    <w:p>
      <w:pPr>
        <w:pBdr>
          <w:bottom w:val="single" w:color="1B3A6B" w:sz="6" w:space="1"/>
        </w:pBdr>
        <w:spacing w:after="16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STAKEHOLDER ACTIVITY</w:t>
      </w:r>
    </w:p>
    <w:p>
      <w:pPr>
        <w:spacing w:after="1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Source: CRM email sync · Past 7 days · Grant and giving-capacity contacts only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CRM operational. Hourly email sync active as of February 27, 2026.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No grant or giving-capacity interactions logged this cycle — system came online today.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First CRM interaction data expected in tomorrow's brief as email pipeline matures.</w:t>
      </w:r>
    </w:p>
    <w:p>
      <w:pPr>
        <w:spacing w:after="0" w:before="80"/>
      </w:pPr>
      <w:r>
        <w:t xml:space="preserve"/>
      </w:r>
    </w:p>
    <w:p>
      <w:pPr>
        <w:pBdr>
          <w:bottom w:val="single" w:color="1B3A6B" w:sz="6" w:space="1"/>
        </w:pBdr>
        <w:spacing w:after="16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WEBSITE &amp; REACH</w:t>
      </w:r>
    </w:p>
    <w:p>
      <w:pPr>
        <w:spacing w:after="1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Source: GA4 Property 526241272 · civicos-institute.org · Daily pull at 08:30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GA4 analytics pipeline live as of February 27, 2026. Tag confirmed in global Jekyll layout.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Users: 0 · Sessions: 0 · Data collection active, awaiting first visitor traffic.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First meaningful analytics expected within 24–48 hours as site traffic begins flowing.</w:t>
      </w:r>
    </w:p>
    <w:p>
      <w:pPr>
        <w:spacing w:after="0" w:before="80"/>
      </w:pPr>
      <w:r>
        <w:t xml:space="preserve"/>
      </w:r>
    </w:p>
    <w:p>
      <w:pPr>
        <w:pBdr>
          <w:bottom w:val="single" w:color="1B3A6B" w:sz="6" w:space="1"/>
        </w:pBdr>
        <w:spacing w:after="16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RECOMMENDED ACTIONS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80"/>
        <w:gridCol w:w="228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Signal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assign an owner to produce a 1-page briefing memo and recommendation within 48 hours.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S. 3858 (IS) - Strengthening Infrastructure, Readiness, and 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392B"/>
                <w:sz w:val="19"/>
                <w:szCs w:val="19"/>
              </w:rPr>
              <w:t xml:space="preserve">HIGH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Bdr>
          <w:bottom w:val="single" w:color="1B3A6B" w:sz="6" w:space="1"/>
        </w:pBdr>
        <w:spacing w:after="160" w:before="0"/>
      </w:pPr>
      <w:r>
        <w:t xml:space="preserve"/>
      </w:r>
    </w:p>
    <w:p>
      <w:pPr>
        <w:spacing w:after="0" w:before="8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This brief is auto-compiled weekly every Monday at 07:00 by the CivicOS intelligence pipeline. Sources: Google Alerts, GNews, GovInfo RSS, YouTube channel monitoring. Inference: Qwen3.5-27B (local). Next brief: Monday, March 2, 2026.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CONFIDENTIAL — CivicOS Institute Internal Use Only</w:t>
    </w:r>
    <w:r>
      <w:rPr>
        <w:rFonts w:ascii="Arial" w:cs="Arial" w:eastAsia="Arial" w:hAnsi="Arial"/>
        <w:color w:val="666666"/>
        <w:sz w:val="16"/>
        <w:szCs w:val="16"/>
      </w:rPr>
      <w:t xml:space="preserve">	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6" w:space="4"/>
      </w:pBdr>
      <w:tabs>
        <w:tab w:val="center" w:pos="4680"/>
        <w:tab w:val="right" w:pos="9026"/>
      </w:tabs>
    </w:pPr>
    <w:r>
      <w:rPr>
        <w:rFonts w:ascii="Arial" w:cs="Arial" w:eastAsia="Arial" w:hAnsi="Arial"/>
        <w:b/>
        <w:bCs/>
        <w:color w:val="1B3A6B"/>
        <w:sz w:val="20"/>
        <w:szCs w:val="20"/>
      </w:rPr>
      <w:t xml:space="preserve">CIVICOS INSTITUTE</w:t>
    </w:r>
    <w:r>
      <w:rPr>
        <w:rFonts w:ascii="Arial" w:cs="Arial" w:eastAsia="Arial" w:hAnsi="Arial"/>
        <w:color w:val="666666"/>
        <w:sz w:val="19"/>
        <w:szCs w:val="19"/>
      </w:rPr>
      <w:t xml:space="preserve">	Board Intelligence Brief</w:t>
    </w:r>
    <w:r>
      <w:rPr>
        <w:rFonts w:ascii="Arial" w:cs="Arial" w:eastAsia="Arial" w:hAnsi="Arial"/>
        <w:color w:val="666666"/>
        <w:sz w:val="19"/>
        <w:szCs w:val="19"/>
      </w:rPr>
      <w:t xml:space="preserve">	February 27,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3A6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neiwffarrkntikvrhkus" Type="http://schemas.openxmlformats.org/officeDocument/2006/relationships/hyperlink" Target="https://www.npr.org/2026/02/26/nx-s1-5727847/anthropic-defense-hegseth-ai-weapons-surveillance" TargetMode="External"/><Relationship Id="rIdqj8q0jr3zic6629upcewa" Type="http://schemas.openxmlformats.org/officeDocument/2006/relationships/hyperlink" Target="https://www.youtube.com/channel/UCL_A4jkwvKuMyToAPy3FQKQ" TargetMode="External"/><Relationship Id="rIdyn_-ver11adv5scbobtfe" Type="http://schemas.openxmlformats.org/officeDocument/2006/relationships/hyperlink" Target="https://www.citizen-times.com/press-release/story/63718/infocap-launches-mpvaas-trust-and-easy-to-accelerate-ai-driven-modernization-for-government-healthcare-programs/" TargetMode="External"/><Relationship Id="rId4fmd9xtmujvcbbkkyeniu" Type="http://schemas.openxmlformats.org/officeDocument/2006/relationships/hyperlink" Target="https://calmatters.org/justice/2026/02/alpr-border-patrol-caltrans/" TargetMode="External"/><Relationship Id="rId9uu2oeyotn8_8o4mkmj2m" Type="http://schemas.openxmlformats.org/officeDocument/2006/relationships/hyperlink" Target="https://www.youtube.com/channel/UCi7jxgIOxcRaF4Q54U7lF3g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2026-02-28T03:47:24.052Z</dcterms:created>
  <dcterms:modified xsi:type="dcterms:W3CDTF">2026-02-28T03:47:24.053Z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