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bf949bf26def0da4537205576b1cff8db940db"/>
    <w:p>
      <w:pPr>
        <w:pStyle w:val="Heading1"/>
      </w:pPr>
      <w:r>
        <w:t xml:space="preserve">CivicOS Institute — Foundation Prospectus (One-Page)</w:t>
      </w:r>
    </w:p>
    <w:p>
      <w:pPr>
        <w:pStyle w:val="FirstParagraph"/>
      </w:pPr>
      <w:r>
        <w:rPr>
          <w:b/>
          <w:bCs/>
        </w:rPr>
        <w:t xml:space="preserve">West Palm Beach, Florida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Nicholas A. Cerbone, Director • NCerbone@civicos-institute.org</w:t>
      </w:r>
    </w:p>
    <w:bookmarkStart w:id="9" w:name="what-we-do"/>
    <w:p>
      <w:pPr>
        <w:pStyle w:val="Heading2"/>
      </w:pPr>
      <w:r>
        <w:t xml:space="preserve">What We Do</w:t>
      </w:r>
    </w:p>
    <w:p>
      <w:pPr>
        <w:pStyle w:val="FirstParagraph"/>
      </w:pPr>
      <w:r>
        <w:t xml:space="preserve">CivicOS Institute builds practical civic participation pathways that help residents and community groups move from intent to implementation. We combine local engagement programming, operational support tools, and measurable reporting.</w:t>
      </w:r>
    </w:p>
    <w:bookmarkEnd w:id="9"/>
    <w:bookmarkStart w:id="10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Communities face a participation gap: people care about local issues but lack clear, supported structures for sustained civic action. Small and grassroots groups often have mission clarity but limited implementation capacity.</w:t>
      </w:r>
    </w:p>
    <w:bookmarkEnd w:id="10"/>
    <w:bookmarkStart w:id="11" w:name="our-model"/>
    <w:p>
      <w:pPr>
        <w:pStyle w:val="Heading2"/>
      </w:pPr>
      <w:r>
        <w:t xml:space="preserve">Our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Civic Participation Activation</w:t>
      </w:r>
      <w:r>
        <w:t xml:space="preserve"> </w:t>
      </w:r>
      <w:r>
        <w:t xml:space="preserve">— structured opportunities for local action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Capacity Infrastructure</w:t>
      </w:r>
      <w:r>
        <w:t xml:space="preserve"> </w:t>
      </w:r>
      <w:r>
        <w:t xml:space="preserve">— workflows/tools that improve execution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Measurement Loop</w:t>
      </w:r>
      <w:r>
        <w:t xml:space="preserve"> </w:t>
      </w:r>
      <w:r>
        <w:t xml:space="preserve">— KPI tracking + quarterly performance reviews</w:t>
      </w:r>
    </w:p>
    <w:bookmarkEnd w:id="11"/>
    <w:bookmarkStart w:id="12" w:name="month-outcomes-targets"/>
    <w:p>
      <w:pPr>
        <w:pStyle w:val="Heading2"/>
      </w:pPr>
      <w:r>
        <w:t xml:space="preserve">12-Month Outcomes (Targets)</w:t>
      </w:r>
    </w:p>
    <w:p>
      <w:pPr>
        <w:pStyle w:val="Compact"/>
        <w:numPr>
          <w:ilvl w:val="0"/>
          <w:numId w:val="1002"/>
        </w:numPr>
      </w:pPr>
      <w:r>
        <w:t xml:space="preserve">300+ residents reached</w:t>
      </w:r>
    </w:p>
    <w:p>
      <w:pPr>
        <w:pStyle w:val="Compact"/>
        <w:numPr>
          <w:ilvl w:val="0"/>
          <w:numId w:val="1002"/>
        </w:numPr>
      </w:pPr>
      <w:r>
        <w:t xml:space="preserve">120+ active participants</w:t>
      </w:r>
    </w:p>
    <w:p>
      <w:pPr>
        <w:pStyle w:val="Compact"/>
        <w:numPr>
          <w:ilvl w:val="0"/>
          <w:numId w:val="1002"/>
        </w:numPr>
      </w:pPr>
      <w:r>
        <w:t xml:space="preserve">12+ community initiatives supported</w:t>
      </w:r>
    </w:p>
    <w:p>
      <w:pPr>
        <w:pStyle w:val="Compact"/>
        <w:numPr>
          <w:ilvl w:val="0"/>
          <w:numId w:val="1002"/>
        </w:numPr>
      </w:pPr>
      <w:r>
        <w:t xml:space="preserve">8+ partner organizations engaged</w:t>
      </w:r>
    </w:p>
    <w:p>
      <w:pPr>
        <w:pStyle w:val="Compact"/>
        <w:numPr>
          <w:ilvl w:val="0"/>
          <w:numId w:val="1002"/>
        </w:numPr>
      </w:pPr>
      <w:r>
        <w:t xml:space="preserve">50+ documented civic actions</w:t>
      </w:r>
    </w:p>
    <w:p>
      <w:pPr>
        <w:pStyle w:val="Compact"/>
        <w:numPr>
          <w:ilvl w:val="0"/>
          <w:numId w:val="1002"/>
        </w:numPr>
      </w:pPr>
      <w:r>
        <w:t xml:space="preserve">4/4 quarterly reports delivered on time</w:t>
      </w:r>
    </w:p>
    <w:bookmarkEnd w:id="12"/>
    <w:bookmarkStart w:id="13" w:name="foundation-alignment"/>
    <w:p>
      <w:pPr>
        <w:pStyle w:val="Heading2"/>
      </w:pPr>
      <w:r>
        <w:t xml:space="preserve">Foundation Alignment</w:t>
      </w:r>
    </w:p>
    <w:p>
      <w:pPr>
        <w:pStyle w:val="FirstParagraph"/>
      </w:pPr>
      <w:r>
        <w:t xml:space="preserve">Strong fit for funders prioritizing:</w:t>
      </w:r>
      <w:r>
        <w:t xml:space="preserve"> </w:t>
      </w:r>
      <w:r>
        <w:t xml:space="preserve">- Civic engagement and local participation</w:t>
      </w:r>
      <w:r>
        <w:t xml:space="preserve"> </w:t>
      </w:r>
      <w:r>
        <w:t xml:space="preserve">- Community capacity building</w:t>
      </w:r>
      <w:r>
        <w:t xml:space="preserve"> </w:t>
      </w:r>
      <w:r>
        <w:t xml:space="preserve">- Equity and access</w:t>
      </w:r>
      <w:r>
        <w:t xml:space="preserve"> </w:t>
      </w:r>
      <w:r>
        <w:t xml:space="preserve">- Measurable outcomes and accountability</w:t>
      </w:r>
    </w:p>
    <w:bookmarkEnd w:id="13"/>
    <w:bookmarkStart w:id="14" w:name="funding-use"/>
    <w:p>
      <w:pPr>
        <w:pStyle w:val="Heading2"/>
      </w:pPr>
      <w:r>
        <w:t xml:space="preserve">Funding Use</w:t>
      </w:r>
    </w:p>
    <w:p>
      <w:pPr>
        <w:pStyle w:val="FirstParagraph"/>
      </w:pPr>
      <w:r>
        <w:t xml:space="preserve">Foundation support enables:</w:t>
      </w:r>
      <w:r>
        <w:t xml:space="preserve"> </w:t>
      </w:r>
      <w:r>
        <w:t xml:space="preserve">- Program facilitation and delivery</w:t>
      </w:r>
      <w:r>
        <w:t xml:space="preserve"> </w:t>
      </w:r>
      <w:r>
        <w:t xml:space="preserve">- Community outreach/activation</w:t>
      </w:r>
      <w:r>
        <w:t xml:space="preserve"> </w:t>
      </w:r>
      <w:r>
        <w:t xml:space="preserve">- Operational infrastructure</w:t>
      </w:r>
      <w:r>
        <w:t xml:space="preserve"> </w:t>
      </w:r>
      <w:r>
        <w:t xml:space="preserve">- Evaluation and quarterly reporting</w:t>
      </w:r>
      <w:r>
        <w:t xml:space="preserve"> </w:t>
      </w:r>
      <w:r>
        <w:t xml:space="preserve">- Core administrative execution capacity</w:t>
      </w:r>
    </w:p>
    <w:bookmarkEnd w:id="14"/>
    <w:bookmarkStart w:id="15" w:name="funding-pathways"/>
    <w:p>
      <w:pPr>
        <w:pStyle w:val="Heading2"/>
      </w:pPr>
      <w:r>
        <w:t xml:space="preserve">Funding Pathways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General operating/capacity support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Program-specific grants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Multi-year partnership structures</w:t>
      </w:r>
      <w:r>
        <w:t xml:space="preserve"> </w:t>
      </w:r>
      <w:r>
        <w:t xml:space="preserve">tied to KPI milestones</w:t>
      </w:r>
    </w:p>
    <w:p>
      <w:pPr>
        <w:pStyle w:val="FirstParagraph"/>
      </w:pPr>
      <w:r>
        <w:rPr>
          <w:b/>
          <w:bCs/>
        </w:rPr>
        <w:t xml:space="preserve">Indicative request ranges:</w:t>
      </w:r>
      <w:r>
        <w:t xml:space="preserve"> </w:t>
      </w:r>
      <w:r>
        <w:t xml:space="preserve">$10K–$150K+ (scoped by program stage).</w:t>
      </w:r>
    </w:p>
    <w:bookmarkEnd w:id="15"/>
    <w:bookmarkStart w:id="16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We welcome fit discussions, LOI pathways, and program officer calls.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Nicholas A. Cerbone • NCerbone@civicos-institute.org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2026-03-04T17:04:01Z</dcterms:created>
  <dcterms:modified xsi:type="dcterms:W3CDTF">2026-03-04T17:04:01Z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