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ivicos-institute"/>
    <w:p>
      <w:pPr>
        <w:pStyle w:val="Heading1"/>
      </w:pPr>
      <w:r>
        <w:t xml:space="preserve">CIVICOS INSTITUTE</w:t>
      </w:r>
    </w:p>
    <w:bookmarkStart w:id="9" w:name="board-intelligence-brief"/>
    <w:p>
      <w:pPr>
        <w:pStyle w:val="Heading2"/>
      </w:pPr>
      <w:r>
        <w:t xml:space="preserve">Board Intelligence Brief</w:t>
      </w:r>
    </w:p>
    <w:p>
      <w:pPr>
        <w:pStyle w:val="FirstParagraph"/>
      </w:pPr>
      <w:r>
        <w:t xml:space="preserve">2026-02-27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civicos-board-brief-2026-02-27"/>
    <w:p>
      <w:pPr>
        <w:pStyle w:val="Heading1"/>
      </w:pPr>
      <w:r>
        <w:t xml:space="preserve">CivicOS Board Brief — 2026-02-27</w: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3 board-ready governance signals identified this cycle.</w:t>
      </w:r>
    </w:p>
    <w:p>
      <w:pPr>
        <w:pStyle w:val="Compact"/>
        <w:numPr>
          <w:ilvl w:val="0"/>
          <w:numId w:val="1001"/>
        </w:numPr>
      </w:pPr>
      <w:r>
        <w:t xml:space="preserve">CRM flagged interactions (grant/capacity_giving) in past 7 days: 0.</w:t>
      </w:r>
    </w:p>
    <w:p>
      <w:pPr>
        <w:pStyle w:val="Compact"/>
        <w:numPr>
          <w:ilvl w:val="0"/>
          <w:numId w:val="1001"/>
        </w:numPr>
      </w:pPr>
      <w:r>
        <w:t xml:space="preserve">Website analytics snapshot included from latest GA4 daily pull.</w:t>
      </w:r>
    </w:p>
    <w:bookmarkEnd w:id="11"/>
    <w:bookmarkStart w:id="19" w:name="signal-intelligence"/>
    <w:p>
      <w:pPr>
        <w:pStyle w:val="Heading2"/>
      </w:pPr>
      <w:r>
        <w:t xml:space="preserve">Signal Intelligence</w:t>
      </w:r>
    </w:p>
    <w:bookmarkStart w:id="13" w:name="X92e4e5faa1c3a239089eba81afb783723902bff"/>
    <w:p>
      <w:pPr>
        <w:pStyle w:val="Heading3"/>
      </w:pPr>
      <w:r>
        <w:t xml:space="preserve">S. 3858 (IS) - Strengthening Infrastructure, Readiness, and Emergency Notifications Act of 2026</w:t>
      </w:r>
    </w:p>
    <w:p>
      <w:pPr>
        <w:pStyle w:val="Compact"/>
        <w:numPr>
          <w:ilvl w:val="0"/>
          <w:numId w:val="1002"/>
        </w:numPr>
      </w:pPr>
      <w:r>
        <w:t xml:space="preserve">Source:</w:t>
      </w:r>
      <w:r>
        <w:t xml:space="preserve"> </w:t>
      </w:r>
      <w:hyperlink r:id="rId12">
        <w:r>
          <w:rPr>
            <w:rStyle w:val="Hyperlink"/>
          </w:rPr>
          <w:t xml:space="preserve">Govinfo</w:t>
        </w:r>
      </w:hyperlink>
    </w:p>
    <w:p>
      <w:pPr>
        <w:pStyle w:val="Compact"/>
        <w:numPr>
          <w:ilvl w:val="0"/>
          <w:numId w:val="1002"/>
        </w:numPr>
      </w:pPr>
      <w:r>
        <w:t xml:space="preserve">Related video: none found in monitored YouTube feeds</w:t>
      </w:r>
    </w:p>
    <w:p>
      <w:pPr>
        <w:pStyle w:val="Compact"/>
        <w:numPr>
          <w:ilvl w:val="0"/>
          <w:numId w:val="1002"/>
        </w:numPr>
      </w:pPr>
      <w:r>
        <w:t xml:space="preserve">Why it matters: This signal indicates a potentially material governance shift that could affect CivicOS positioning in the next 30–90 days.</w:t>
      </w:r>
    </w:p>
    <w:p>
      <w:pPr>
        <w:pStyle w:val="Compact"/>
        <w:numPr>
          <w:ilvl w:val="0"/>
          <w:numId w:val="1002"/>
        </w:numPr>
      </w:pPr>
      <w:r>
        <w:t xml:space="preserve">Risk/Opportunity: Risk: delayed response could weaken policy credibility; Opportunity: timely framing can position CivicOS as a trusted governance convener.</w:t>
      </w:r>
    </w:p>
    <w:p>
      <w:pPr>
        <w:pStyle w:val="Compact"/>
        <w:numPr>
          <w:ilvl w:val="0"/>
          <w:numId w:val="1002"/>
        </w:numPr>
      </w:pPr>
      <w:r>
        <w:t xml:space="preserve">Next step: assign an owner to produce a 1-page briefing memo and recommendation within 48 hours.</w:t>
      </w:r>
    </w:p>
    <w:bookmarkEnd w:id="13"/>
    <w:bookmarkStart w:id="16" w:name="X87dddb7aae994c70bca403245430876adfe966e"/>
    <w:p>
      <w:pPr>
        <w:pStyle w:val="Heading3"/>
      </w:pPr>
      <w:r>
        <w:t xml:space="preserve">Anthropic rejects Pentagon’s AI demands - POLITICO</w:t>
      </w:r>
    </w:p>
    <w:p>
      <w:pPr>
        <w:pStyle w:val="Compact"/>
        <w:numPr>
          <w:ilvl w:val="0"/>
          <w:numId w:val="1003"/>
        </w:numPr>
      </w:pPr>
      <w:r>
        <w:t xml:space="preserve">Source:</w:t>
      </w:r>
      <w:r>
        <w:t xml:space="preserve"> </w:t>
      </w:r>
      <w:hyperlink r:id="rId14">
        <w:r>
          <w:rPr>
            <w:rStyle w:val="Hyperlink"/>
          </w:rPr>
          <w:t xml:space="preserve">Politico</w:t>
        </w:r>
      </w:hyperlink>
    </w:p>
    <w:p>
      <w:pPr>
        <w:pStyle w:val="Compact"/>
        <w:numPr>
          <w:ilvl w:val="0"/>
          <w:numId w:val="1003"/>
        </w:numPr>
      </w:pPr>
      <w:r>
        <w:t xml:space="preserve">Related video: CSIS —</w:t>
      </w:r>
      <w:r>
        <w:t xml:space="preserve"> </w:t>
      </w:r>
      <w:hyperlink r:id="rId15">
        <w:r>
          <w:rPr>
            <w:rStyle w:val="Hyperlink"/>
          </w:rPr>
          <w:t xml:space="preserve">Four Years of War in Ukraine, New Dutch Government, and Europe’s China Challenge</w:t>
        </w:r>
      </w:hyperlink>
    </w:p>
    <w:p>
      <w:pPr>
        <w:pStyle w:val="Compact"/>
        <w:numPr>
          <w:ilvl w:val="0"/>
          <w:numId w:val="1003"/>
        </w:numPr>
      </w:pPr>
      <w:r>
        <w:t xml:space="preserve">Why it matters: This signal indicates a potentially material governance shift that could affect CivicOS positioning in the next 30–90 days.</w:t>
      </w:r>
    </w:p>
    <w:p>
      <w:pPr>
        <w:pStyle w:val="Compact"/>
        <w:numPr>
          <w:ilvl w:val="0"/>
          <w:numId w:val="1003"/>
        </w:numPr>
      </w:pPr>
      <w:r>
        <w:t xml:space="preserve">Risk/Opportunity: Risk: delayed response could weaken policy credibility; Opportunity: timely framing can position CivicOS as a trusted governance convener.</w:t>
      </w:r>
    </w:p>
    <w:p>
      <w:pPr>
        <w:pStyle w:val="Compact"/>
        <w:numPr>
          <w:ilvl w:val="0"/>
          <w:numId w:val="1003"/>
        </w:numPr>
      </w:pPr>
      <w:r>
        <w:t xml:space="preserve">Next step: assign an owner to produce a 1-page briefing memo and recommendation within 48 hours.</w:t>
      </w:r>
    </w:p>
    <w:bookmarkEnd w:id="16"/>
    <w:bookmarkStart w:id="18" w:name="X57ee30b446734b08766eb6e73eae1b21cf006a4"/>
    <w:p>
      <w:pPr>
        <w:pStyle w:val="Heading3"/>
      </w:pPr>
      <w:r>
        <w:t xml:space="preserve">Infocap Launches MPVaaS, TRUST, and EASY to Accelerate AI -Driven Modernization for …</w:t>
      </w:r>
    </w:p>
    <w:p>
      <w:pPr>
        <w:pStyle w:val="Compact"/>
        <w:numPr>
          <w:ilvl w:val="0"/>
          <w:numId w:val="1004"/>
        </w:numPr>
      </w:pPr>
      <w:r>
        <w:t xml:space="preserve">Source:</w:t>
      </w:r>
      <w:r>
        <w:t xml:space="preserve"> </w:t>
      </w:r>
      <w:hyperlink r:id="rId17">
        <w:r>
          <w:rPr>
            <w:rStyle w:val="Hyperlink"/>
          </w:rPr>
          <w:t xml:space="preserve">Citizen-times</w:t>
        </w:r>
      </w:hyperlink>
    </w:p>
    <w:p>
      <w:pPr>
        <w:pStyle w:val="Compact"/>
        <w:numPr>
          <w:ilvl w:val="0"/>
          <w:numId w:val="1004"/>
        </w:numPr>
      </w:pPr>
      <w:r>
        <w:t xml:space="preserve">Related video: none found in monitored YouTube feeds</w:t>
      </w:r>
    </w:p>
    <w:p>
      <w:pPr>
        <w:pStyle w:val="Compact"/>
        <w:numPr>
          <w:ilvl w:val="0"/>
          <w:numId w:val="1004"/>
        </w:numPr>
      </w:pPr>
      <w:r>
        <w:t xml:space="preserve">Why it matters: This signal indicates a potentially material governance shift that could affect CivicOS positioning in the next 30–90 days.</w:t>
      </w:r>
    </w:p>
    <w:p>
      <w:pPr>
        <w:pStyle w:val="Compact"/>
        <w:numPr>
          <w:ilvl w:val="0"/>
          <w:numId w:val="1004"/>
        </w:numPr>
      </w:pPr>
      <w:r>
        <w:t xml:space="preserve">Risk/Opportunity: Risk: delayed response could weaken policy credibility; Opportunity: timely framing can position CivicOS as a trusted governance convener.</w:t>
      </w:r>
    </w:p>
    <w:p>
      <w:pPr>
        <w:pStyle w:val="Compact"/>
        <w:numPr>
          <w:ilvl w:val="0"/>
          <w:numId w:val="1004"/>
        </w:numPr>
      </w:pPr>
      <w:r>
        <w:t xml:space="preserve">Next step: assign an owner to produce a 1-page briefing memo and recommendation within 48 hours.</w:t>
      </w:r>
    </w:p>
    <w:bookmarkEnd w:id="18"/>
    <w:bookmarkEnd w:id="19"/>
    <w:bookmarkStart w:id="20" w:name="stakeholder-activity-past-7-days"/>
    <w:p>
      <w:pPr>
        <w:pStyle w:val="Heading2"/>
      </w:pPr>
      <w:r>
        <w:t xml:space="preserve">Stakeholder Activity (past 7 days)</w:t>
      </w:r>
    </w:p>
    <w:p>
      <w:pPr>
        <w:pStyle w:val="Compact"/>
        <w:numPr>
          <w:ilvl w:val="0"/>
          <w:numId w:val="1005"/>
        </w:numPr>
      </w:pPr>
      <w:r>
        <w:t xml:space="preserve">No grant/capacity_giving flagged CRM interactions recorded in the past 7 days.</w:t>
      </w:r>
    </w:p>
    <w:p>
      <w:pPr>
        <w:pStyle w:val="Compact"/>
        <w:numPr>
          <w:ilvl w:val="0"/>
          <w:numId w:val="1005"/>
        </w:numPr>
      </w:pPr>
      <w:r>
        <w:t xml:space="preserve">CRM sync stats: processed=0, matched=0, manual_review=0</w:t>
      </w:r>
    </w:p>
    <w:bookmarkEnd w:id="20"/>
    <w:bookmarkStart w:id="21" w:name="website-reach-ga4-summary"/>
    <w:p>
      <w:pPr>
        <w:pStyle w:val="Heading2"/>
      </w:pPr>
      <w:r>
        <w:t xml:space="preserve">Website &amp; Reach (GA4 summary)</w:t>
      </w:r>
    </w:p>
    <w:bookmarkEnd w:id="21"/>
    <w:bookmarkEnd w:id="22"/>
    <w:bookmarkStart w:id="26" w:name="ga4-daily-pull"/>
    <w:p>
      <w:pPr>
        <w:pStyle w:val="Heading1"/>
      </w:pPr>
      <w:r>
        <w:t xml:space="preserve">GA4 Daily Pull</w:t>
      </w:r>
    </w:p>
    <w:p>
      <w:pPr>
        <w:pStyle w:val="FirstParagraph"/>
      </w:pPr>
      <w:r>
        <w:t xml:space="preserve">Generated: 2026-02-27T19:02:51.579980+00:00</w:t>
      </w:r>
    </w:p>
    <w:p>
      <w:pPr>
        <w:pStyle w:val="Compact"/>
        <w:numPr>
          <w:ilvl w:val="0"/>
          <w:numId w:val="1006"/>
        </w:numPr>
      </w:pPr>
      <w:r>
        <w:t xml:space="preserve">Property ID: 526241272</w:t>
      </w:r>
    </w:p>
    <w:p>
      <w:pPr>
        <w:pStyle w:val="Compact"/>
        <w:numPr>
          <w:ilvl w:val="0"/>
          <w:numId w:val="1006"/>
        </w:numPr>
      </w:pPr>
      <w:r>
        <w:t xml:space="preserve">Measurement ID: G-Z4LCY5PVBL</w:t>
      </w:r>
    </w:p>
    <w:p>
      <w:pPr>
        <w:pStyle w:val="Compact"/>
        <w:numPr>
          <w:ilvl w:val="0"/>
          <w:numId w:val="1006"/>
        </w:numPr>
      </w:pPr>
      <w:r>
        <w:t xml:space="preserve">Users: 0 (prev 0, WoW None%)</w:t>
      </w:r>
    </w:p>
    <w:p>
      <w:pPr>
        <w:pStyle w:val="Compact"/>
        <w:numPr>
          <w:ilvl w:val="0"/>
          <w:numId w:val="1006"/>
        </w:numPr>
      </w:pPr>
      <w:r>
        <w:t xml:space="preserve">Sessions: 0 (prev 0, WoW None%)</w:t>
      </w:r>
    </w:p>
    <w:bookmarkStart w:id="23" w:name="top-sourcemedium"/>
    <w:p>
      <w:pPr>
        <w:pStyle w:val="Heading2"/>
      </w:pPr>
      <w:r>
        <w:t xml:space="preserve">Top Source/Medium</w:t>
      </w:r>
    </w:p>
    <w:bookmarkEnd w:id="23"/>
    <w:bookmarkStart w:id="24" w:name="top-pages"/>
    <w:p>
      <w:pPr>
        <w:pStyle w:val="Heading2"/>
      </w:pPr>
      <w:r>
        <w:t xml:space="preserve">Top Pages</w:t>
      </w:r>
    </w:p>
    <w:bookmarkEnd w:id="24"/>
    <w:bookmarkStart w:id="25" w:name="recommended-actions"/>
    <w:p>
      <w:pPr>
        <w:pStyle w:val="Heading2"/>
      </w:pPr>
      <w:r>
        <w:t xml:space="preserve">Recommended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an owner to produce a 1-page briefing memo and recommendation within 48 hours.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itizen-times.com/press-release/story/63718/infocap-launches-mpvaas-trust-and-easy-to-accelerate-ai-driven-modernization-for-government-healthcare-programs/" TargetMode="External" /><Relationship Type="http://schemas.openxmlformats.org/officeDocument/2006/relationships/hyperlink" Id="rId12" Target="https://www.govinfo.gov/app/details/BILLS-119s3858is" TargetMode="External" /><Relationship Type="http://schemas.openxmlformats.org/officeDocument/2006/relationships/hyperlink" Id="rId14" Target="https://www.politico.com/news/2026/02/26/anthropic-rejects-pentagons-ai-demands-00802554" TargetMode="External" /><Relationship Type="http://schemas.openxmlformats.org/officeDocument/2006/relationships/hyperlink" Id="rId15" Target="https://www.youtube.com/watch?v=l1HGVQZQIr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itizen-times.com/press-release/story/63718/infocap-launches-mpvaas-trust-and-easy-to-accelerate-ai-driven-modernization-for-government-healthcare-programs/" TargetMode="External" /><Relationship Type="http://schemas.openxmlformats.org/officeDocument/2006/relationships/hyperlink" Id="rId12" Target="https://www.govinfo.gov/app/details/BILLS-119s3858is" TargetMode="External" /><Relationship Type="http://schemas.openxmlformats.org/officeDocument/2006/relationships/hyperlink" Id="rId14" Target="https://www.politico.com/news/2026/02/26/anthropic-rejects-pentagons-ai-demands-00802554" TargetMode="External" /><Relationship Type="http://schemas.openxmlformats.org/officeDocument/2006/relationships/hyperlink" Id="rId15" Target="https://www.youtube.com/watch?v=l1HGVQZQIr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2026-02-28T03:32:56Z</dcterms:created>
  <dcterms:modified xsi:type="dcterms:W3CDTF">2026-02-28T03:32:56Z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