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A3A5C"/>
          <w:sz w:val="72"/>
        </w:rPr>
        <w:t>CivicRecords AI</w:t>
      </w:r>
    </w:p>
    <w:p>
      <w:pPr>
        <w:jc w:val="center"/>
      </w:pPr>
      <w:r>
        <w:rPr>
          <w:rFonts w:ascii="Calibri" w:hAnsi="Calibri"/>
          <w:color w:val="2563EB"/>
          <w:sz w:val="28"/>
        </w:rPr>
        <w:t>Open-Source, Locally-Hosted AI for Municipal Open Records</w:t>
      </w:r>
    </w:p>
    <w:p>
      <w:pPr>
        <w:jc w:val="center"/>
      </w:pPr>
      <w:r>
        <w:rPr>
          <w:rFonts w:ascii="Calibri" w:hAnsi="Calibri"/>
          <w:i/>
          <w:color w:val="6B7280"/>
          <w:sz w:val="22"/>
        </w:rPr>
        <w:t>v1.1+  ·  April 2026  ·  Apache 2.0</w:t>
      </w:r>
    </w:p>
    <w:p/>
    <w:p>
      <w:pPr>
        <w:pStyle w:val="Heading1"/>
      </w:pPr>
      <w:r>
        <w:rPr>
          <w:rFonts w:ascii="Calibri" w:hAnsi="Calibri"/>
          <w:b/>
          <w:color w:val="1A3A5C"/>
          <w:sz w:val="32"/>
        </w:rPr>
        <w:t>Why This Exists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Every city in America processes open records requests (FOIA, CORA, and state equivalents). Staff manually search file shares, email archives, and databases — then review every document for exemptions before release. It is slow, error-prone, and a growing burden as request volumes increase. No open-source tool existed for the responder side of open records at the municipal level. CivicRecords AI fills that gap.</w:t>
      </w:r>
    </w:p>
    <w:p>
      <w:pPr>
        <w:pStyle w:val="Heading1"/>
      </w:pPr>
      <w:r>
        <w:rPr>
          <w:rFonts w:ascii="Calibri" w:hAnsi="Calibri"/>
          <w:b/>
          <w:color w:val="1A3A5C"/>
          <w:sz w:val="32"/>
        </w:rPr>
        <w:t>Key Features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CivicRecords AI ships with 17 documented features: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6912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AI-Powered Search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Natural language hybrid search (semantic + keyword) across all ingested documents with source attribution, normalized relevance scores, and optional AI-generated summaries.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Document Ingestion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Automatic parsing of PDF, DOCX, XLSX, CSV, email, HTML, and text files. Scanned documents processed via multimodal AI (Gemma 4) with Tesseract OCR fallback.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Exemption Detection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Tier 1 PII detection (SSN, credit card with Luhn validation, phone, email, bank accounts, state-specific driver's licenses) plus per-state statutory keyword matching. All flags require human confirmation.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Request Management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Full lifecycle tracking with 11 statuses. Timeline, messaging, fee tracking, and response letter generation.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Guided Onboarding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3-phase wizard: city profile, systems identification across 12 municipal domains, gap map.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Municipal Systems Catalog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25+ municipal software vendors across 12 functional domains with discovery hints.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Universal Connector Framework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Standardized 4-method protocol. Ships with file system, REST API, and ODBC connectors.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Scheduled Sync &amp; Idempotent Ingestion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Per-source cron scheduling with 5-minute floor. Idempotent dedup by content hash or stable source-path. Concurrent-update races prevented via SELECT FOR UPDATE.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Sync Failure Tracking &amp; Circuit Breaker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Two-layer retry model. Automatic circuit breaker after 5 consecutive full-run failures. Admin UI with colored health badge, failed records panel, and Sync Now button.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Operational Analytics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Real-time metrics: average response time, deadline compliance rate, overdue requests.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Notification Service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12 template-based email notifications with SMTP delivery via Celery beat.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Compliance by Design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Hash-chained audit logs, human-in-the-loop enforcement, AI content labeling, data sovereignty verification. 50-state regulatory compliance design.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Civic Design System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shadcn/ui, civic blue design tokens, WCAG 2.2 AA targeted.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Federation-Ready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REST API with service accounts enables cross-jurisdiction record discovery.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50-State Exemption Rules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180 rules across 51 jurisdictions with per-state statutory keyword matching.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Department Access Controls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Staff scoped to own department; admins see all. Full RBAC role hierarchy.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Compliance Templates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5 compliance documents with city profile variable substitution.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1A3A5C"/>
          <w:sz w:val="32"/>
        </w:rPr>
        <w:t>Quick Start</w:t>
      </w:r>
    </w:p>
    <w:p>
      <w:pPr>
        <w:pStyle w:val="Heading2"/>
      </w:pPr>
      <w:r>
        <w:rPr>
          <w:rFonts w:ascii="Calibri" w:hAnsi="Calibri"/>
          <w:b/>
          <w:color w:val="2563EB"/>
          <w:sz w:val="26"/>
        </w:rPr>
        <w:t>Requirements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Docker Desktop (Windows 10/11, macOS 13+) or Docker Engine (Linux)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8+ CPU cores, 32 GB RAM, 50 GB free disk space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No internet connection required after initial setup</w:t>
      </w:r>
    </w:p>
    <w:p>
      <w:pPr>
        <w:pStyle w:val="Heading2"/>
      </w:pPr>
      <w:r>
        <w:rPr>
          <w:rFonts w:ascii="Calibri" w:hAnsi="Calibri"/>
          <w:b/>
          <w:color w:val="2563EB"/>
          <w:sz w:val="26"/>
        </w:rPr>
        <w:t>Install (Windows)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git clone https://github.com/CivicSuite/civicrecords-ai.git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cd civicrecords-ai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.\install.ps1</w:t>
      </w:r>
    </w:p>
    <w:p>
      <w:pPr>
        <w:pStyle w:val="Heading2"/>
      </w:pPr>
      <w:r>
        <w:rPr>
          <w:rFonts w:ascii="Calibri" w:hAnsi="Calibri"/>
          <w:b/>
          <w:color w:val="2563EB"/>
          <w:sz w:val="26"/>
        </w:rPr>
        <w:t>Install (macOS / Linux)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git clone https://github.com/CivicSuite/civicrecords-ai.git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cd civicrecords-ai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bash install.sh</w:t>
      </w:r>
    </w:p>
    <w:p>
      <w:pPr>
        <w:pStyle w:val="Heading2"/>
      </w:pPr>
      <w:r>
        <w:rPr>
          <w:rFonts w:ascii="Calibri" w:hAnsi="Calibri"/>
          <w:b/>
          <w:color w:val="2563EB"/>
          <w:sz w:val="26"/>
        </w:rPr>
        <w:t>First Use</w:t>
      </w:r>
    </w:p>
    <w:p>
      <w:pPr>
        <w:pStyle w:val="ListNumber"/>
        <w:spacing w:after="40"/>
        <w:ind w:left="360"/>
      </w:pPr>
      <w:r>
        <w:rPr>
          <w:rFonts w:ascii="Calibri" w:hAnsi="Calibri"/>
          <w:sz w:val="22"/>
        </w:rPr>
        <w:t>Open http://localhost:8080 in your browser</w:t>
      </w:r>
    </w:p>
    <w:p>
      <w:pPr>
        <w:pStyle w:val="ListNumber"/>
        <w:spacing w:after="40"/>
        <w:ind w:left="360"/>
      </w:pPr>
      <w:r>
        <w:rPr>
          <w:rFonts w:ascii="Calibri" w:hAnsi="Calibri"/>
          <w:sz w:val="22"/>
        </w:rPr>
        <w:t>Sign in with the admin credentials configured in .env</w:t>
      </w:r>
    </w:p>
    <w:p>
      <w:pPr>
        <w:pStyle w:val="ListNumber"/>
        <w:spacing w:after="40"/>
        <w:ind w:left="360"/>
      </w:pPr>
      <w:r>
        <w:rPr>
          <w:rFonts w:ascii="Calibri" w:hAnsi="Calibri"/>
          <w:sz w:val="22"/>
        </w:rPr>
        <w:t>Go to Sources → Add Source → enter a directory path to your documents</w:t>
      </w:r>
    </w:p>
    <w:p>
      <w:pPr>
        <w:pStyle w:val="ListNumber"/>
        <w:spacing w:after="40"/>
        <w:ind w:left="360"/>
      </w:pPr>
      <w:r>
        <w:rPr>
          <w:rFonts w:ascii="Calibri" w:hAnsi="Calibri"/>
          <w:sz w:val="22"/>
        </w:rPr>
        <w:t>Click Ingest Now — documents are parsed, chunked, and indexed automatically</w:t>
      </w:r>
    </w:p>
    <w:p>
      <w:pPr>
        <w:pStyle w:val="ListNumber"/>
        <w:spacing w:after="40"/>
        <w:ind w:left="360"/>
      </w:pPr>
      <w:r>
        <w:rPr>
          <w:rFonts w:ascii="Calibri" w:hAnsi="Calibri"/>
          <w:sz w:val="22"/>
        </w:rPr>
        <w:t>Go to Search — type a natural language query and get cited results</w:t>
      </w:r>
    </w:p>
    <w:p>
      <w:pPr>
        <w:pStyle w:val="Heading1"/>
      </w:pPr>
      <w:r>
        <w:rPr>
          <w:rFonts w:ascii="Calibri" w:hAnsi="Calibri"/>
          <w:b/>
          <w:color w:val="1A3A5C"/>
          <w:sz w:val="32"/>
        </w:rPr>
        <w:t>Architecture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CivicRecords AI deploys as a 7-service Docker Compose stack. All services run in Linux containers regardless of host operating system.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1584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888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1008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Port</w:t>
            </w:r>
          </w:p>
        </w:tc>
      </w:tr>
      <w:tr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Presentation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frontend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nginx + React 18 + shadcn/ui</w:t>
            </w:r>
          </w:p>
        </w:tc>
        <w:tc>
          <w:tcPr>
            <w:tcW w:type="dxa" w:w="100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8080</w:t>
            </w:r>
          </w:p>
        </w:tc>
      </w:tr>
      <w:tr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API</w:t>
            </w:r>
          </w:p>
        </w:tc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api</w:t>
            </w:r>
          </w:p>
        </w:tc>
        <w:tc>
          <w:tcPr>
            <w:tcW w:type="dxa" w:w="388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Python 3.12 / FastAPI</w:t>
            </w:r>
          </w:p>
        </w:tc>
        <w:tc>
          <w:tcPr>
            <w:tcW w:type="dxa" w:w="100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8000</w:t>
            </w:r>
          </w:p>
        </w:tc>
      </w:tr>
      <w:tr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Workers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worker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Celery worker (ingestion tasks)</w:t>
            </w:r>
          </w:p>
        </w:tc>
        <w:tc>
          <w:tcPr>
            <w:tcW w:type="dxa" w:w="100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Scheduler</w:t>
            </w:r>
          </w:p>
        </w:tc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beat</w:t>
            </w:r>
          </w:p>
        </w:tc>
        <w:tc>
          <w:tcPr>
            <w:tcW w:type="dxa" w:w="388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Celery beat (cron triggers)</w:t>
            </w:r>
          </w:p>
        </w:tc>
        <w:tc>
          <w:tcPr>
            <w:tcW w:type="dxa" w:w="100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Data store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PostgreSQL 17 + pgvector</w:t>
            </w:r>
          </w:p>
        </w:tc>
        <w:tc>
          <w:tcPr>
            <w:tcW w:type="dxa" w:w="100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5432</w:t>
            </w:r>
          </w:p>
        </w:tc>
      </w:tr>
      <w:tr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Queue</w:t>
            </w:r>
          </w:p>
        </w:tc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</w:t>
            </w:r>
          </w:p>
        </w:tc>
        <w:tc>
          <w:tcPr>
            <w:tcW w:type="dxa" w:w="388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 7.2</w:t>
            </w:r>
          </w:p>
        </w:tc>
        <w:tc>
          <w:tcPr>
            <w:tcW w:type="dxa" w:w="100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6379</w:t>
            </w:r>
          </w:p>
        </w:tc>
      </w:tr>
      <w:tr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Inference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ollama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Ollama local LLM runtime</w:t>
            </w:r>
          </w:p>
        </w:tc>
        <w:tc>
          <w:tcPr>
            <w:tcW w:type="dxa" w:w="100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11434</w:t>
            </w:r>
          </w:p>
        </w:tc>
      </w:tr>
    </w:tbl>
    <w:p/>
    <w:p>
      <w:pPr>
        <w:spacing w:after="80"/>
      </w:pPr>
      <w:r>
        <w:rPr>
          <w:rFonts w:ascii="Calibri" w:hAnsi="Calibri"/>
          <w:b w:val="0"/>
          <w:i/>
          <w:sz w:val="22"/>
        </w:rPr>
        <w:t>Tech stack: Python 3.12, FastAPI, SQLAlchemy 2.0, React 18, shadcn/ui, Tailwind CSS, Alembic, Celery, pgvector, nomic-embed-text, Gemma 4.</w:t>
      </w:r>
    </w:p>
    <w:p>
      <w:pPr>
        <w:pStyle w:val="Heading1"/>
      </w:pPr>
      <w:r>
        <w:rPr>
          <w:rFonts w:ascii="Calibri" w:hAnsi="Calibri"/>
          <w:b/>
          <w:color w:val="1A3A5C"/>
          <w:sz w:val="32"/>
        </w:rPr>
        <w:t>Technology 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456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144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Version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Language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Python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3.12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API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FastAPI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0.115+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ORM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SQLAlchemy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2.0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Database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PostgreSQL + pgvector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17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Queue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7.2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Task runner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Celery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5.x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LLM runtime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Ollama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latest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Frontend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React + shadcn/ui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18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Containers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Docker Compose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v2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Testing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pytest / vitest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latest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1A3A5C"/>
          <w:sz w:val="32"/>
        </w:rPr>
        <w:t>Configuration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All configuration is via environment variables in .env: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60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024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Default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DATABASE_URL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PostgreSQL connection string</w:t>
            </w:r>
          </w:p>
        </w:tc>
        <w:tc>
          <w:tcPr>
            <w:tcW w:type="dxa" w:w="302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postgresql+asyncpg://...</w:t>
            </w:r>
          </w:p>
        </w:tc>
      </w:tr>
      <w:tr>
        <w:tc>
          <w:tcPr>
            <w:tcW w:type="dxa" w:w="288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JWT_SECRET</w:t>
            </w:r>
          </w:p>
        </w:tc>
        <w:tc>
          <w:tcPr>
            <w:tcW w:type="dxa" w:w="360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Secret key for JWT tokens</w:t>
            </w:r>
          </w:p>
        </w:tc>
        <w:tc>
          <w:tcPr>
            <w:tcW w:type="dxa" w:w="302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(must be set)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FIRST_ADMIN_EMAIL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Initial admin account email</w:t>
            </w:r>
          </w:p>
        </w:tc>
        <w:tc>
          <w:tcPr>
            <w:tcW w:type="dxa" w:w="302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admin@example.gov</w:t>
            </w:r>
          </w:p>
        </w:tc>
      </w:tr>
      <w:tr>
        <w:tc>
          <w:tcPr>
            <w:tcW w:type="dxa" w:w="288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FIRST_ADMIN_PASSWORD</w:t>
            </w:r>
          </w:p>
        </w:tc>
        <w:tc>
          <w:tcPr>
            <w:tcW w:type="dxa" w:w="360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Initial admin account password</w:t>
            </w:r>
          </w:p>
        </w:tc>
        <w:tc>
          <w:tcPr>
            <w:tcW w:type="dxa" w:w="302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(must be set)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OLLAMA_BASE_URL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Ollama API endpoint</w:t>
            </w:r>
          </w:p>
        </w:tc>
        <w:tc>
          <w:tcPr>
            <w:tcW w:type="dxa" w:w="302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http://ollama:11434</w:t>
            </w:r>
          </w:p>
        </w:tc>
      </w:tr>
      <w:tr>
        <w:tc>
          <w:tcPr>
            <w:tcW w:type="dxa" w:w="288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REDIS_URL</w:t>
            </w:r>
          </w:p>
        </w:tc>
        <w:tc>
          <w:tcPr>
            <w:tcW w:type="dxa" w:w="360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 connection string</w:t>
            </w:r>
          </w:p>
        </w:tc>
        <w:tc>
          <w:tcPr>
            <w:tcW w:type="dxa" w:w="302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redis://redis:6379/0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AUDIT_RETENTION_DAYS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Audit log retention period</w:t>
            </w:r>
          </w:p>
        </w:tc>
        <w:tc>
          <w:tcPr>
            <w:tcW w:type="dxa" w:w="302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1095 (3 years)</w:t>
            </w:r>
          </w:p>
        </w:tc>
      </w:tr>
    </w:tbl>
    <w:p>
      <w:pPr>
        <w:pStyle w:val="Heading1"/>
      </w:pPr>
      <w:r>
        <w:rPr>
          <w:rFonts w:ascii="Calibri" w:hAnsi="Calibri"/>
          <w:b/>
          <w:color w:val="1A3A5C"/>
          <w:sz w:val="32"/>
        </w:rPr>
        <w:t>User Roles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576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Permissions</w:t>
            </w:r>
          </w:p>
        </w:tc>
        <w:tc>
          <w:tcPr>
            <w:tcW w:type="dxa" w:w="144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Admin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Full access: users, system config, rules, audit logs, onboarding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Built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Staff</w:t>
            </w:r>
          </w:p>
        </w:tc>
        <w:tc>
          <w:tcPr>
            <w:tcW w:type="dxa" w:w="576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Search, create requests, attach documents, review flags, fees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Built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Reviewer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Everything Staff + approve/reject responses and flags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Built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Read-Only</w:t>
            </w:r>
          </w:p>
        </w:tc>
        <w:tc>
          <w:tcPr>
            <w:tcW w:type="dxa" w:w="576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View search results and request status only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Built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Liaison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Scoped to assigned department, attach documents and notes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MVP-NOW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Public</w:t>
            </w:r>
          </w:p>
        </w:tc>
        <w:tc>
          <w:tcPr>
            <w:tcW w:type="dxa" w:w="576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Submit requests, track own requests, search published records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v1.1</w:t>
            </w:r>
          </w:p>
        </w:tc>
      </w:tr>
    </w:tbl>
    <w:p>
      <w:pPr>
        <w:pStyle w:val="Heading1"/>
      </w:pPr>
      <w:r>
        <w:rPr>
          <w:rFonts w:ascii="Calibri" w:hAnsi="Calibri"/>
          <w:b/>
          <w:color w:val="1A3A5C"/>
          <w:sz w:val="32"/>
        </w:rPr>
        <w:t>Status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v1.3.0 — Phase 1 CivicCore extraction landed. civiccore 0.1.0 is now a release-wheel dependency; two-layer migration order (civiccore first via subprocess, then records). Infrastructure-only release — no API or UI changes.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v1.2.0 — Tier 5 + Tier 6 complete. Adds minimal public request portal (T5D), unsigned Windows installer (T5E), and ENG-001 closed (Tier 6 at-rest Fernet encryption on data_sources.connection_config shipped 2026-04-23). Builds on Phase 2 department access controls, 50-state exemption rules, and compliance templates.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29 database tables managed by 16 Alembic migration scripts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~30 REST API endpoints under /api/v1/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617 backend + 36 frontend automated tests passing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Tested on Windows 11 (Docker Desktop) and Ubuntu 22.04 (Docker Engine)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AMD GPU/NPU hardware auto-detection (ROCm on Linux, DirectML on Windows)</w:t>
      </w:r>
    </w:p>
    <w:p>
      <w:pPr>
        <w:pStyle w:val="Heading1"/>
      </w:pPr>
      <w:r>
        <w:rPr>
          <w:rFonts w:ascii="Calibri" w:hAnsi="Calibri"/>
          <w:b/>
          <w:color w:val="1A3A5C"/>
          <w:sz w:val="32"/>
        </w:rPr>
        <w:t>License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Apache License 2.0 — see LICENSE. All dependencies use permissive (MIT, Apache 2.0, BSD) or weak-copyleft (LGPL, MPL) licenses. No AGPL, SSPL, or BSL dependencies.</w:t>
      </w:r>
    </w:p>
    <w:p/>
    <w:p>
      <w:pPr>
        <w:jc w:val="center"/>
      </w:pPr>
      <w:r>
        <w:rPr>
          <w:rFonts w:ascii="Calibri" w:hAnsi="Calibri"/>
          <w:color w:val="2563EB"/>
          <w:sz w:val="22"/>
        </w:rPr>
        <w:t>github.com/CivicSuite/civicrecords-ai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Apache License 2.0  —  github.com/CivicSuite/civicrecords-ai</w:t>
    </w:r>
    <w:r>
      <w:rPr>
        <w:sz w:val="16"/>
      </w:rPr>
      <w:t xml:space="preserve">     Page </w:t>
    </w:r>
    <w:r>
      <w:fldChar w:fldCharType="begin"/>
      <w:instrText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1" w:color="2563eb"/>
      </w:pBdr>
    </w:pPr>
    <w:r>
      <w:rPr>
        <w:rFonts w:ascii="Calibri" w:hAnsi="Calibri"/>
        <w:i/>
        <w:color w:val="2563EB"/>
        <w:sz w:val="18"/>
      </w:rPr>
      <w:t>CivicRecords AI  |  v1.1+  |  Open-Source Municipal Records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