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2026-04-25)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</w:r>
    </w:p>
    <w:p>
      <w:pPr>
        <w:pStyle w:val="Heading3"/>
      </w:pPr>
      <w:r>
        <w:t>What's planned but not started</w:t>
      </w:r>
    </w:p>
    <w:p>
      <w:r>
        <w:t>- **civicclerk** — meetings, agendas, packets, minutes, voting, and sunshine-law compliance. Spec drafted, no code yet.</w:t>
        <w:br/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civicclerk,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t>![CivicSuite umbrella architecture](docs/diagrams/suite-architecture.svg)</w:t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 PLANNED       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