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</w:r>
    </w:p>
    <w:p>
      <w:pPr>
        <w:pStyle w:val="Heading3"/>
      </w:pPr>
      <w:r>
        <w:t>What's planned but not started</w:t>
      </w:r>
    </w:p>
    <w:p>
      <w:r>
        <w:t>- **civiccode** — municipal code and ordinance access. This is the next planning lane because CivicZone needs an authoritative code-section contract before zoning runtime work begins.</w:t>
        <w:br/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not created yet | Next planning lane; no runtime code. |</w:t>
        <w:br/>
        <w:t>|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23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