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only one module is shipping. The rest are either in early-platform stage or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</w:r>
    </w:p>
    <w:p>
      <w:pPr>
        <w:pStyle w:val="Heading3"/>
      </w:pPr>
      <w:r>
        <w:t>What's planned but not started</w:t>
      </w:r>
    </w:p>
    <w:p>
      <w:r>
        <w:t>- **civiccode** — municipal code and ordinance access. The repo exists as a scaffold with Milestone 0 planning complete; no runtime code has shipped. This is the next planning lane because CivicZone needs an authoritative code-section contract before zoning runtime work begins.</w:t>
        <w:br/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Scaffold + Milestone 0 planning complete; no runtime code. |</w:t>
        <w:br/>
        <w:t>|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23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