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096BA" w14:textId="389AE0E8" w:rsidR="00C21CD7" w:rsidRPr="006B16CB" w:rsidRDefault="006B16CB" w:rsidP="00C21CD7">
      <w:pPr>
        <w:rPr>
          <w:b/>
          <w:bCs/>
          <w:sz w:val="32"/>
          <w:szCs w:val="32"/>
        </w:rPr>
      </w:pPr>
      <w:r w:rsidRPr="006B16CB">
        <w:rPr>
          <w:b/>
          <w:bCs/>
          <w:sz w:val="32"/>
          <w:szCs w:val="32"/>
        </w:rPr>
        <w:t>The Sovereign Union Constitution</w:t>
      </w:r>
    </w:p>
    <w:p w14:paraId="07B061A2" w14:textId="77777777" w:rsidR="00C21CD7" w:rsidRPr="00C21CD7" w:rsidRDefault="00000000" w:rsidP="00C21CD7">
      <w:r>
        <w:pict w14:anchorId="1B0EAEB7">
          <v:rect id="_x0000_i1027" style="width:0;height:1.5pt" o:hralign="center" o:hrstd="t" o:hr="t" fillcolor="#a0a0a0" stroked="f"/>
        </w:pict>
      </w:r>
    </w:p>
    <w:p w14:paraId="149E3FA6" w14:textId="77777777" w:rsidR="00C21CD7" w:rsidRPr="00C21CD7" w:rsidRDefault="00C21CD7" w:rsidP="00C21CD7">
      <w:pPr>
        <w:rPr>
          <w:b/>
          <w:bCs/>
        </w:rPr>
      </w:pPr>
      <w:r w:rsidRPr="00C21CD7">
        <w:rPr>
          <w:b/>
          <w:bCs/>
        </w:rPr>
        <w:t>Articles of the Union</w:t>
      </w:r>
    </w:p>
    <w:p w14:paraId="15FC74D6" w14:textId="77777777" w:rsidR="00C21CD7" w:rsidRPr="00C21CD7" w:rsidRDefault="00C21CD7" w:rsidP="00C21CD7">
      <w:pPr>
        <w:rPr>
          <w:b/>
          <w:bCs/>
        </w:rPr>
      </w:pPr>
      <w:r w:rsidRPr="00C21CD7">
        <w:rPr>
          <w:b/>
          <w:bCs/>
        </w:rPr>
        <w:t>Article I: The Foundation of Sovereign Unity</w:t>
      </w:r>
    </w:p>
    <w:p w14:paraId="111AEBB2" w14:textId="77777777" w:rsidR="00C21CD7" w:rsidRPr="00C21CD7" w:rsidRDefault="00C21CD7" w:rsidP="00C21CD7">
      <w:pPr>
        <w:numPr>
          <w:ilvl w:val="0"/>
          <w:numId w:val="1"/>
        </w:numPr>
      </w:pPr>
      <w:r w:rsidRPr="00C21CD7">
        <w:t>Each member nation retains its sovereignty, culture, and identity while adopting the Union Constitution as the supreme guiding framework for inter-nation collaboration.</w:t>
      </w:r>
    </w:p>
    <w:p w14:paraId="50D0B6BF" w14:textId="77777777" w:rsidR="00C21CD7" w:rsidRPr="00C21CD7" w:rsidRDefault="00C21CD7" w:rsidP="00C21CD7">
      <w:pPr>
        <w:numPr>
          <w:ilvl w:val="0"/>
          <w:numId w:val="1"/>
        </w:numPr>
      </w:pPr>
      <w:r w:rsidRPr="00C21CD7">
        <w:t>Membership is open to all nations that commit to the principles of democracy, equity, and shared responsibility.</w:t>
      </w:r>
    </w:p>
    <w:p w14:paraId="71FFA83B" w14:textId="77777777" w:rsidR="00C21CD7" w:rsidRPr="00C21CD7" w:rsidRDefault="00C21CD7" w:rsidP="00C21CD7">
      <w:pPr>
        <w:numPr>
          <w:ilvl w:val="0"/>
          <w:numId w:val="1"/>
        </w:numPr>
      </w:pPr>
      <w:r w:rsidRPr="00C21CD7">
        <w:t>Amendments to the Union Constitution require the consensus of two-thirds of member nations, ensuring collective agreement on transformative changes.</w:t>
      </w:r>
    </w:p>
    <w:p w14:paraId="77E5E062" w14:textId="77777777" w:rsidR="00C21CD7" w:rsidRPr="00C21CD7" w:rsidRDefault="00000000" w:rsidP="00C21CD7">
      <w:r>
        <w:pict w14:anchorId="1D5154E9">
          <v:rect id="_x0000_i1028" style="width:0;height:1.5pt" o:hralign="center" o:hrstd="t" o:hr="t" fillcolor="#a0a0a0" stroked="f"/>
        </w:pict>
      </w:r>
    </w:p>
    <w:p w14:paraId="66D7495B" w14:textId="77777777" w:rsidR="005A1892" w:rsidRPr="005A1892" w:rsidRDefault="005A1892" w:rsidP="005A1892">
      <w:pPr>
        <w:rPr>
          <w:b/>
          <w:bCs/>
        </w:rPr>
      </w:pPr>
      <w:r w:rsidRPr="005A1892">
        <w:rPr>
          <w:b/>
          <w:bCs/>
        </w:rPr>
        <w:t>Article II: Governance of the Union</w:t>
      </w:r>
    </w:p>
    <w:p w14:paraId="6C261EF8" w14:textId="77777777" w:rsidR="005A1892" w:rsidRPr="005A1892" w:rsidRDefault="005A1892" w:rsidP="005A1892">
      <w:pPr>
        <w:numPr>
          <w:ilvl w:val="0"/>
          <w:numId w:val="11"/>
        </w:numPr>
      </w:pPr>
      <w:r w:rsidRPr="005A1892">
        <w:t>Union Assembly: The Union Assembly shall serve as the legislative body, with equal representation for all member nations regardless of size or economic strength.</w:t>
      </w:r>
    </w:p>
    <w:p w14:paraId="0D7EF40D" w14:textId="77777777" w:rsidR="005A1892" w:rsidRPr="005A1892" w:rsidRDefault="005A1892" w:rsidP="005A1892">
      <w:pPr>
        <w:numPr>
          <w:ilvl w:val="0"/>
          <w:numId w:val="11"/>
        </w:numPr>
      </w:pPr>
      <w:r w:rsidRPr="005A1892">
        <w:t>Executive Council: An executive council, elected by the Assembly, will coordinate policy, enforce agreements, and ensure compliance with Union standards. The council shall elect an Executive Chair from among its members through a simple majority vote. In the event of a tie, the Union Judiciary will cast a deciding vote. If the Judiciary cannot resolve the tie, the chair will be selected at random using a transparent method.</w:t>
      </w:r>
    </w:p>
    <w:p w14:paraId="5A655630" w14:textId="77777777" w:rsidR="005A1892" w:rsidRPr="005A1892" w:rsidRDefault="005A1892" w:rsidP="005A1892">
      <w:pPr>
        <w:numPr>
          <w:ilvl w:val="0"/>
          <w:numId w:val="11"/>
        </w:numPr>
      </w:pPr>
      <w:r w:rsidRPr="005A1892">
        <w:t>Union Judiciary: A Union Judiciary, composed of an odd number of impartial representatives from each region, will resolve disputes and uphold the constitution.</w:t>
      </w:r>
    </w:p>
    <w:p w14:paraId="7CA84381" w14:textId="77777777" w:rsidR="005A1892" w:rsidRPr="005A1892" w:rsidRDefault="005A1892" w:rsidP="005A1892">
      <w:pPr>
        <w:numPr>
          <w:ilvl w:val="0"/>
          <w:numId w:val="11"/>
        </w:numPr>
      </w:pPr>
      <w:r w:rsidRPr="005A1892">
        <w:t>Transparency: Decisions affecting all member nations require transparency, with public records and accessible voting outcomes.</w:t>
      </w:r>
    </w:p>
    <w:p w14:paraId="587FEAFB" w14:textId="77777777" w:rsidR="00C21CD7" w:rsidRDefault="00000000" w:rsidP="00C21CD7">
      <w:r>
        <w:pict w14:anchorId="54332B7C">
          <v:rect id="_x0000_i1029" style="width:0;height:1.5pt" o:hralign="center" o:bullet="t" o:hrstd="t" o:hr="t" fillcolor="#a0a0a0" stroked="f"/>
        </w:pict>
      </w:r>
    </w:p>
    <w:p w14:paraId="3428FC46" w14:textId="77777777" w:rsidR="0009503E" w:rsidRDefault="0009503E" w:rsidP="00C21CD7"/>
    <w:p w14:paraId="23DAFE0F" w14:textId="77777777" w:rsidR="0009503E" w:rsidRDefault="0009503E" w:rsidP="00C21CD7"/>
    <w:p w14:paraId="3E669725" w14:textId="0D382017" w:rsidR="00C21CD7" w:rsidRPr="00C21CD7" w:rsidRDefault="00C21CD7" w:rsidP="00C21CD7">
      <w:pPr>
        <w:rPr>
          <w:b/>
          <w:bCs/>
        </w:rPr>
      </w:pPr>
      <w:r w:rsidRPr="00C21CD7">
        <w:rPr>
          <w:b/>
          <w:bCs/>
        </w:rPr>
        <w:t>Article III: Borders and Human Mobility</w:t>
      </w:r>
    </w:p>
    <w:p w14:paraId="00C138DE" w14:textId="0C7ED421" w:rsidR="00C21CD7" w:rsidRPr="00C21CD7" w:rsidRDefault="00C21CD7" w:rsidP="00C21CD7">
      <w:pPr>
        <w:numPr>
          <w:ilvl w:val="0"/>
          <w:numId w:val="3"/>
        </w:numPr>
      </w:pPr>
      <w:r w:rsidRPr="00C21CD7">
        <w:t>Borders between member nations are dissolved for the purposes of human movement, trade, and cultural exchange.</w:t>
      </w:r>
    </w:p>
    <w:p w14:paraId="0FAF48A2" w14:textId="4D33A5BD" w:rsidR="00C21CD7" w:rsidRPr="00C21CD7" w:rsidRDefault="00C21CD7" w:rsidP="00C21CD7">
      <w:pPr>
        <w:numPr>
          <w:ilvl w:val="0"/>
          <w:numId w:val="3"/>
        </w:numPr>
      </w:pPr>
      <w:r w:rsidRPr="00C21CD7">
        <w:t>A Union Identification System will provide citizens of member nations with access to healthcare, education, and legal protections across the Union.</w:t>
      </w:r>
    </w:p>
    <w:p w14:paraId="52823A3B" w14:textId="7F08EB08" w:rsidR="00C21CD7" w:rsidRPr="00C21CD7" w:rsidRDefault="00C21CD7" w:rsidP="00C21CD7">
      <w:pPr>
        <w:numPr>
          <w:ilvl w:val="0"/>
          <w:numId w:val="3"/>
        </w:numPr>
      </w:pPr>
      <w:r w:rsidRPr="00C21CD7">
        <w:t>Immigration policies will be aligned to prioritize integration, skill development, and humanitarian considerations, ensuring benefits for both migrants and host nations.</w:t>
      </w:r>
    </w:p>
    <w:p w14:paraId="6900C46F" w14:textId="5E3104B1" w:rsidR="00C21CD7" w:rsidRPr="00C21CD7" w:rsidRDefault="00C21CD7" w:rsidP="00C21CD7">
      <w:pPr>
        <w:numPr>
          <w:ilvl w:val="0"/>
          <w:numId w:val="3"/>
        </w:numPr>
      </w:pPr>
      <w:r w:rsidRPr="00C21CD7">
        <w:lastRenderedPageBreak/>
        <w:t>The Union will actively dismantle barriers that perpetuate inequality, striving for free movement of people and ideas.</w:t>
      </w:r>
    </w:p>
    <w:p w14:paraId="5D7CB422" w14:textId="13DC8D20" w:rsidR="00C21CD7" w:rsidRPr="00C21CD7" w:rsidRDefault="00000000" w:rsidP="00C21CD7">
      <w:r>
        <w:pict w14:anchorId="4A1820C4">
          <v:rect id="_x0000_i1030" style="width:0;height:1.5pt" o:hralign="center" o:hrstd="t" o:hr="t" fillcolor="#a0a0a0" stroked="f"/>
        </w:pict>
      </w:r>
    </w:p>
    <w:p w14:paraId="14176614" w14:textId="0F7E07BA" w:rsidR="00C21CD7" w:rsidRPr="00C21CD7" w:rsidRDefault="00C21CD7" w:rsidP="00C21CD7">
      <w:pPr>
        <w:rPr>
          <w:b/>
          <w:bCs/>
        </w:rPr>
      </w:pPr>
      <w:r w:rsidRPr="00C21CD7">
        <w:rPr>
          <w:b/>
          <w:bCs/>
        </w:rPr>
        <w:t>Article IV: Economic Integration</w:t>
      </w:r>
    </w:p>
    <w:p w14:paraId="60B3CC0E" w14:textId="77777777" w:rsidR="00C21CD7" w:rsidRPr="00C21CD7" w:rsidRDefault="00C21CD7" w:rsidP="00C21CD7">
      <w:pPr>
        <w:numPr>
          <w:ilvl w:val="0"/>
          <w:numId w:val="4"/>
        </w:numPr>
      </w:pPr>
      <w:r w:rsidRPr="00C21CD7">
        <w:t>Free trade between member nations is enshrined as a core principle. Tariffs, quotas, and restrictions on goods and services within the Union are abolished.</w:t>
      </w:r>
    </w:p>
    <w:p w14:paraId="6CA8172A" w14:textId="4C012BCB" w:rsidR="00C21CD7" w:rsidRPr="00C21CD7" w:rsidRDefault="00C21CD7" w:rsidP="00C21CD7">
      <w:pPr>
        <w:numPr>
          <w:ilvl w:val="0"/>
          <w:numId w:val="4"/>
        </w:numPr>
      </w:pPr>
      <w:r w:rsidRPr="00C21CD7">
        <w:t>A shared currency, managed by the Union Reserve, will replace individual national currencies to promote financial stability and simplify cross-border transactions.</w:t>
      </w:r>
    </w:p>
    <w:p w14:paraId="078D9D8C" w14:textId="77777777" w:rsidR="00C21CD7" w:rsidRPr="00C21CD7" w:rsidRDefault="00C21CD7" w:rsidP="00C21CD7">
      <w:pPr>
        <w:numPr>
          <w:ilvl w:val="0"/>
          <w:numId w:val="4"/>
        </w:numPr>
      </w:pPr>
      <w:r w:rsidRPr="00C21CD7">
        <w:t>Union-wide investment funds will support infrastructure, education, and technology projects in underdeveloped regions.</w:t>
      </w:r>
    </w:p>
    <w:p w14:paraId="5EE1BDED" w14:textId="77777777" w:rsidR="00C21CD7" w:rsidRDefault="00C21CD7" w:rsidP="00C21CD7">
      <w:pPr>
        <w:numPr>
          <w:ilvl w:val="0"/>
          <w:numId w:val="4"/>
        </w:numPr>
      </w:pPr>
      <w:r w:rsidRPr="00C21CD7">
        <w:t>Antitrust policies will ensure competitive markets, preventing monopolistic practices and fostering innovation.</w:t>
      </w:r>
    </w:p>
    <w:p w14:paraId="6D2BA7BF" w14:textId="4F2753E7" w:rsidR="009D7AD7" w:rsidRPr="00C21CD7" w:rsidRDefault="009D7AD7" w:rsidP="00C21CD7">
      <w:pPr>
        <w:numPr>
          <w:ilvl w:val="0"/>
          <w:numId w:val="4"/>
        </w:numPr>
      </w:pPr>
      <w:r w:rsidRPr="009D7AD7">
        <w:t xml:space="preserve">Member nations are encouraged to adopt progressive social policies, such as </w:t>
      </w:r>
      <w:r>
        <w:t>The Citizens Dividend (</w:t>
      </w:r>
      <w:r w:rsidRPr="009D7AD7">
        <w:t>Universal Basic Income</w:t>
      </w:r>
      <w:r>
        <w:t>)</w:t>
      </w:r>
      <w:r w:rsidRPr="009D7AD7">
        <w:t>, to ensure the equitable distribution of wealth and resources. The Union will support such initiatives through shared research, best practices, and financial assistance where appropriate.”</w:t>
      </w:r>
    </w:p>
    <w:p w14:paraId="15402489" w14:textId="77777777" w:rsidR="00C21CD7" w:rsidRPr="00C21CD7" w:rsidRDefault="00000000" w:rsidP="00C21CD7">
      <w:r>
        <w:pict w14:anchorId="1AADEE8D">
          <v:rect id="_x0000_i1031" style="width:0;height:1.5pt" o:hralign="center" o:hrstd="t" o:hr="t" fillcolor="#a0a0a0" stroked="f"/>
        </w:pict>
      </w:r>
    </w:p>
    <w:p w14:paraId="4FA89691" w14:textId="77777777" w:rsidR="00C14672" w:rsidRPr="00C14672" w:rsidRDefault="00C14672" w:rsidP="00C14672">
      <w:pPr>
        <w:rPr>
          <w:b/>
          <w:bCs/>
        </w:rPr>
      </w:pPr>
      <w:r w:rsidRPr="00C14672">
        <w:rPr>
          <w:b/>
          <w:bCs/>
        </w:rPr>
        <w:t>Article V: Coordinated Security</w:t>
      </w:r>
    </w:p>
    <w:p w14:paraId="11A52999" w14:textId="77777777" w:rsidR="00C14672" w:rsidRPr="00C14672" w:rsidRDefault="00C14672" w:rsidP="00C14672">
      <w:pPr>
        <w:numPr>
          <w:ilvl w:val="0"/>
          <w:numId w:val="10"/>
        </w:numPr>
      </w:pPr>
      <w:r w:rsidRPr="00C14672">
        <w:t>A Unified Defense Board will coordinate security and defense strategies across member nations, ensuring collective safety and rapid response to threats.</w:t>
      </w:r>
    </w:p>
    <w:p w14:paraId="08397BCC" w14:textId="77777777" w:rsidR="00C14672" w:rsidRPr="00C14672" w:rsidRDefault="00C14672" w:rsidP="00C14672">
      <w:pPr>
        <w:numPr>
          <w:ilvl w:val="0"/>
          <w:numId w:val="10"/>
        </w:numPr>
      </w:pPr>
      <w:r w:rsidRPr="00C14672">
        <w:t>Each member nation will maintain its own military forces, which will collaborate under the guidance of the Unified Defense Board for joint operations and shared defense objectives.</w:t>
      </w:r>
    </w:p>
    <w:p w14:paraId="204EF0D7" w14:textId="77777777" w:rsidR="00C14672" w:rsidRPr="00C14672" w:rsidRDefault="00C14672" w:rsidP="00C14672">
      <w:pPr>
        <w:numPr>
          <w:ilvl w:val="0"/>
          <w:numId w:val="10"/>
        </w:numPr>
      </w:pPr>
      <w:r w:rsidRPr="00C14672">
        <w:t>Resources for defense will be pooled proportionally based on each nation’s GDP, ensuring shared responsibility and equitable contribution.</w:t>
      </w:r>
    </w:p>
    <w:p w14:paraId="0F7A36A2" w14:textId="77777777" w:rsidR="00C14672" w:rsidRPr="00C14672" w:rsidRDefault="00C14672" w:rsidP="00C14672">
      <w:pPr>
        <w:numPr>
          <w:ilvl w:val="0"/>
          <w:numId w:val="10"/>
        </w:numPr>
      </w:pPr>
      <w:r w:rsidRPr="00C14672">
        <w:t>Diplomacy is prioritized in resolving conflicts; military action involving multiple nations requires approval from three-fourths of the Union Assembly unless in immediate retaliation.</w:t>
      </w:r>
    </w:p>
    <w:p w14:paraId="5E8EA61D" w14:textId="5B106B48" w:rsidR="00C14672" w:rsidRPr="00C14672" w:rsidRDefault="00C14672" w:rsidP="00C14672">
      <w:pPr>
        <w:numPr>
          <w:ilvl w:val="0"/>
          <w:numId w:val="10"/>
        </w:numPr>
      </w:pPr>
      <w:r w:rsidRPr="00C14672">
        <w:t xml:space="preserve">Joint intelligence efforts will focus on combating global threats such as terrorism, cybercrime, and </w:t>
      </w:r>
      <w:r>
        <w:t>other crises.</w:t>
      </w:r>
    </w:p>
    <w:p w14:paraId="086B32B3" w14:textId="77777777" w:rsidR="00C21CD7" w:rsidRPr="00C21CD7" w:rsidRDefault="00000000" w:rsidP="00C21CD7">
      <w:r>
        <w:pict w14:anchorId="1DA5478E">
          <v:rect id="_x0000_i1032" style="width:0;height:1.5pt" o:hralign="center" o:hrstd="t" o:hr="t" fillcolor="#a0a0a0" stroked="f"/>
        </w:pict>
      </w:r>
    </w:p>
    <w:p w14:paraId="13849FB9" w14:textId="77777777" w:rsidR="00C21CD7" w:rsidRPr="00C21CD7" w:rsidRDefault="00C21CD7" w:rsidP="00C21CD7">
      <w:pPr>
        <w:rPr>
          <w:b/>
          <w:bCs/>
        </w:rPr>
      </w:pPr>
      <w:r w:rsidRPr="00C21CD7">
        <w:rPr>
          <w:b/>
          <w:bCs/>
        </w:rPr>
        <w:t>Article VI: Sustainability and Shared Resources</w:t>
      </w:r>
    </w:p>
    <w:p w14:paraId="61F03381" w14:textId="4F180D99" w:rsidR="00C21CD7" w:rsidRPr="00C21CD7" w:rsidRDefault="00C21CD7" w:rsidP="00C21CD7">
      <w:pPr>
        <w:numPr>
          <w:ilvl w:val="0"/>
          <w:numId w:val="6"/>
        </w:numPr>
      </w:pPr>
      <w:r w:rsidRPr="00C21CD7">
        <w:t xml:space="preserve">Member nations commit to coordinated efforts to </w:t>
      </w:r>
      <w:r w:rsidR="00C14672">
        <w:t>be environmentally sustainable</w:t>
      </w:r>
      <w:r w:rsidRPr="00C21CD7">
        <w:t xml:space="preserve">, preserve biodiversity, and manage natural </w:t>
      </w:r>
      <w:r w:rsidR="00C14672">
        <w:t>resources effectively</w:t>
      </w:r>
      <w:r w:rsidRPr="00C21CD7">
        <w:t>.</w:t>
      </w:r>
    </w:p>
    <w:p w14:paraId="56F4B7A6" w14:textId="77777777" w:rsidR="00C21CD7" w:rsidRPr="00C21CD7" w:rsidRDefault="00C21CD7" w:rsidP="00C21CD7">
      <w:pPr>
        <w:numPr>
          <w:ilvl w:val="0"/>
          <w:numId w:val="6"/>
        </w:numPr>
      </w:pPr>
      <w:r w:rsidRPr="00C21CD7">
        <w:t>A Union Environmental Council will set enforceable standards for emissions, waste management, and renewable energy adoption.</w:t>
      </w:r>
    </w:p>
    <w:p w14:paraId="053648B4" w14:textId="136E5342" w:rsidR="00C21CD7" w:rsidRPr="00C21CD7" w:rsidRDefault="00C21CD7" w:rsidP="00C21CD7">
      <w:pPr>
        <w:numPr>
          <w:ilvl w:val="0"/>
          <w:numId w:val="6"/>
        </w:numPr>
      </w:pPr>
      <w:r w:rsidRPr="00C21CD7">
        <w:lastRenderedPageBreak/>
        <w:t>Shared access to critical resources, such as water and energy, will be regulated to ensure equitable distribution and avoid resource-driven conflicts.</w:t>
      </w:r>
    </w:p>
    <w:p w14:paraId="0E8FDC5D" w14:textId="51712EB8" w:rsidR="00C21CD7" w:rsidRPr="00C21CD7" w:rsidRDefault="00000000" w:rsidP="00C21CD7">
      <w:r>
        <w:pict w14:anchorId="68B6CC21">
          <v:rect id="_x0000_i1033" style="width:0;height:1.5pt" o:hralign="center" o:hrstd="t" o:hr="t" fillcolor="#a0a0a0" stroked="f"/>
        </w:pict>
      </w:r>
    </w:p>
    <w:p w14:paraId="40058D63" w14:textId="77777777" w:rsidR="00C21CD7" w:rsidRPr="00C21CD7" w:rsidRDefault="00C21CD7" w:rsidP="00C21CD7">
      <w:pPr>
        <w:rPr>
          <w:b/>
          <w:bCs/>
        </w:rPr>
      </w:pPr>
      <w:r w:rsidRPr="00C21CD7">
        <w:rPr>
          <w:b/>
          <w:bCs/>
        </w:rPr>
        <w:t>Article VII: Education and Cultural Exchange</w:t>
      </w:r>
    </w:p>
    <w:p w14:paraId="300DF23F" w14:textId="54A0E0EF" w:rsidR="00C21CD7" w:rsidRPr="00C21CD7" w:rsidRDefault="00C21CD7" w:rsidP="00C21CD7">
      <w:pPr>
        <w:numPr>
          <w:ilvl w:val="0"/>
          <w:numId w:val="7"/>
        </w:numPr>
      </w:pPr>
      <w:r w:rsidRPr="00C21CD7">
        <w:t>The Union will establish universal education standards, promoting science, technology, and the arts while respecting cultural diversity.</w:t>
      </w:r>
    </w:p>
    <w:p w14:paraId="22132837" w14:textId="1D885F1E" w:rsidR="00C21CD7" w:rsidRPr="00C21CD7" w:rsidRDefault="00C21CD7" w:rsidP="00C21CD7">
      <w:pPr>
        <w:numPr>
          <w:ilvl w:val="0"/>
          <w:numId w:val="7"/>
        </w:numPr>
      </w:pPr>
      <w:r w:rsidRPr="00C21CD7">
        <w:t>Scholarships, grants, and exchange programs will foster collaboration and understanding among the citizens of member nations.</w:t>
      </w:r>
    </w:p>
    <w:p w14:paraId="51A2A0C4" w14:textId="039FBC6E" w:rsidR="009D7AD7" w:rsidRPr="009D7AD7" w:rsidRDefault="00C21CD7" w:rsidP="009D7AD7">
      <w:pPr>
        <w:numPr>
          <w:ilvl w:val="0"/>
          <w:numId w:val="7"/>
        </w:numPr>
      </w:pPr>
      <w:r w:rsidRPr="00C21CD7">
        <w:t>A Union Knowledge Network will provide open access to research, innovation, and historical archives, strengthening the collective intellect of the Union.</w:t>
      </w:r>
    </w:p>
    <w:p w14:paraId="66FE5AD7" w14:textId="77777777" w:rsidR="009D7AD7" w:rsidRPr="009D7AD7" w:rsidRDefault="00000000" w:rsidP="009D7AD7">
      <w:r>
        <w:pict w14:anchorId="4D818070">
          <v:rect id="_x0000_i1034" style="width:0;height:1.5pt" o:hralign="center" o:hrstd="t" o:hr="t" fillcolor="#a0a0a0" stroked="f"/>
        </w:pict>
      </w:r>
    </w:p>
    <w:p w14:paraId="46EFC990" w14:textId="77777777" w:rsidR="009D7AD7" w:rsidRPr="009D7AD7" w:rsidRDefault="009D7AD7" w:rsidP="009D7AD7">
      <w:pPr>
        <w:rPr>
          <w:b/>
          <w:bCs/>
        </w:rPr>
      </w:pPr>
      <w:r w:rsidRPr="009D7AD7">
        <w:rPr>
          <w:b/>
          <w:bCs/>
        </w:rPr>
        <w:t>Article VIII: Membership Admission Process</w:t>
      </w:r>
    </w:p>
    <w:p w14:paraId="781482E2" w14:textId="77777777" w:rsidR="009D7AD7" w:rsidRPr="009D7AD7" w:rsidRDefault="009D7AD7" w:rsidP="009D7AD7">
      <w:pPr>
        <w:numPr>
          <w:ilvl w:val="0"/>
          <w:numId w:val="9"/>
        </w:numPr>
      </w:pPr>
      <w:r w:rsidRPr="009D7AD7">
        <w:t>Eligibility Criteria:</w:t>
      </w:r>
    </w:p>
    <w:p w14:paraId="45EE15AE" w14:textId="77777777" w:rsidR="009D7AD7" w:rsidRPr="009D7AD7" w:rsidRDefault="009D7AD7" w:rsidP="009D7AD7">
      <w:pPr>
        <w:numPr>
          <w:ilvl w:val="1"/>
          <w:numId w:val="9"/>
        </w:numPr>
      </w:pPr>
      <w:r w:rsidRPr="009D7AD7">
        <w:t>Nations seeking membership must demonstrate a commitment to the Union's principles, including democracy, human rights, equity, and sustainability.</w:t>
      </w:r>
    </w:p>
    <w:p w14:paraId="59C29E88" w14:textId="77777777" w:rsidR="009D7AD7" w:rsidRPr="009D7AD7" w:rsidRDefault="009D7AD7" w:rsidP="009D7AD7">
      <w:pPr>
        <w:numPr>
          <w:ilvl w:val="1"/>
          <w:numId w:val="9"/>
        </w:numPr>
      </w:pPr>
      <w:r w:rsidRPr="009D7AD7">
        <w:t>Applicant nations must meet baseline metrics for governance transparency, economic stability, and adherence to international law.</w:t>
      </w:r>
    </w:p>
    <w:p w14:paraId="1A48BDF2" w14:textId="77777777" w:rsidR="009D7AD7" w:rsidRPr="009D7AD7" w:rsidRDefault="009D7AD7" w:rsidP="009D7AD7">
      <w:pPr>
        <w:numPr>
          <w:ilvl w:val="0"/>
          <w:numId w:val="9"/>
        </w:numPr>
      </w:pPr>
      <w:r w:rsidRPr="009D7AD7">
        <w:t>Application Process:</w:t>
      </w:r>
    </w:p>
    <w:p w14:paraId="73ABAE06" w14:textId="77777777" w:rsidR="009D7AD7" w:rsidRPr="009D7AD7" w:rsidRDefault="009D7AD7" w:rsidP="009D7AD7">
      <w:pPr>
        <w:numPr>
          <w:ilvl w:val="1"/>
          <w:numId w:val="9"/>
        </w:numPr>
      </w:pPr>
      <w:r w:rsidRPr="009D7AD7">
        <w:t>Nations submit a formal application to the Union Assembly outlining their intention to join and their alignment with Union principles.</w:t>
      </w:r>
    </w:p>
    <w:p w14:paraId="1C401677" w14:textId="77777777" w:rsidR="009D7AD7" w:rsidRPr="009D7AD7" w:rsidRDefault="009D7AD7" w:rsidP="009D7AD7">
      <w:pPr>
        <w:numPr>
          <w:ilvl w:val="1"/>
          <w:numId w:val="9"/>
        </w:numPr>
      </w:pPr>
      <w:r w:rsidRPr="009D7AD7">
        <w:t>An evaluation committee, composed of representatives from member nations, will review the application and provide recommendations.</w:t>
      </w:r>
    </w:p>
    <w:p w14:paraId="61AA977D" w14:textId="77777777" w:rsidR="009D7AD7" w:rsidRPr="009D7AD7" w:rsidRDefault="009D7AD7" w:rsidP="009D7AD7">
      <w:pPr>
        <w:numPr>
          <w:ilvl w:val="0"/>
          <w:numId w:val="9"/>
        </w:numPr>
      </w:pPr>
      <w:r w:rsidRPr="009D7AD7">
        <w:t>Voting and Ratification:</w:t>
      </w:r>
    </w:p>
    <w:p w14:paraId="68828274" w14:textId="77777777" w:rsidR="009D7AD7" w:rsidRPr="009D7AD7" w:rsidRDefault="009D7AD7" w:rsidP="009D7AD7">
      <w:pPr>
        <w:numPr>
          <w:ilvl w:val="1"/>
          <w:numId w:val="9"/>
        </w:numPr>
      </w:pPr>
      <w:r w:rsidRPr="009D7AD7">
        <w:t>Admission of a new member requires a two-thirds majority vote by the Union Assembly.</w:t>
      </w:r>
    </w:p>
    <w:p w14:paraId="71D3997E" w14:textId="77777777" w:rsidR="009D7AD7" w:rsidRPr="009D7AD7" w:rsidRDefault="009D7AD7" w:rsidP="009D7AD7">
      <w:pPr>
        <w:numPr>
          <w:ilvl w:val="1"/>
          <w:numId w:val="9"/>
        </w:numPr>
      </w:pPr>
      <w:r w:rsidRPr="009D7AD7">
        <w:t>The applicant nation must ratify the Union Constitution and implement required reforms within an agreed timeline.</w:t>
      </w:r>
    </w:p>
    <w:p w14:paraId="5DB4728E" w14:textId="77777777" w:rsidR="009D7AD7" w:rsidRPr="009D7AD7" w:rsidRDefault="009D7AD7" w:rsidP="009D7AD7">
      <w:pPr>
        <w:numPr>
          <w:ilvl w:val="0"/>
          <w:numId w:val="9"/>
        </w:numPr>
      </w:pPr>
      <w:r w:rsidRPr="009D7AD7">
        <w:t>Integration Phase:</w:t>
      </w:r>
    </w:p>
    <w:p w14:paraId="6E9B8E1F" w14:textId="77777777" w:rsidR="009D7AD7" w:rsidRPr="009D7AD7" w:rsidRDefault="009D7AD7" w:rsidP="009D7AD7">
      <w:pPr>
        <w:numPr>
          <w:ilvl w:val="1"/>
          <w:numId w:val="9"/>
        </w:numPr>
      </w:pPr>
      <w:r w:rsidRPr="009D7AD7">
        <w:t>Newly admitted nations will undergo a structured integration phase, including adopting the shared currency, implementing Union policies, and establishing citizen access to Union-wide benefits.</w:t>
      </w:r>
    </w:p>
    <w:p w14:paraId="60A8219D" w14:textId="77777777" w:rsidR="009D7AD7" w:rsidRPr="009D7AD7" w:rsidRDefault="009D7AD7" w:rsidP="009D7AD7">
      <w:pPr>
        <w:numPr>
          <w:ilvl w:val="0"/>
          <w:numId w:val="9"/>
        </w:numPr>
      </w:pPr>
      <w:r w:rsidRPr="009D7AD7">
        <w:t>Observational Membership:</w:t>
      </w:r>
    </w:p>
    <w:p w14:paraId="2D1E62AC" w14:textId="77777777" w:rsidR="009D7AD7" w:rsidRPr="009D7AD7" w:rsidRDefault="009D7AD7" w:rsidP="009D7AD7">
      <w:pPr>
        <w:numPr>
          <w:ilvl w:val="1"/>
          <w:numId w:val="9"/>
        </w:numPr>
      </w:pPr>
      <w:r w:rsidRPr="009D7AD7">
        <w:lastRenderedPageBreak/>
        <w:t>Nations that do not fully meet the eligibility criteria may be granted observational membership, allowing them to participate in discussions but without voting rights until compliance is achieved.</w:t>
      </w:r>
    </w:p>
    <w:p w14:paraId="70B8B627" w14:textId="220C8687" w:rsidR="009D7AD7" w:rsidRDefault="00000000" w:rsidP="00C21CD7">
      <w:r>
        <w:pict w14:anchorId="7C2925F8">
          <v:rect id="_x0000_i1035" style="width:0;height:1.5pt" o:hralign="center" o:hrstd="t" o:hr="t" fillcolor="#a0a0a0" stroked="f"/>
        </w:pict>
      </w:r>
    </w:p>
    <w:p w14:paraId="14788D1B" w14:textId="3345B194" w:rsidR="00FD440C" w:rsidRPr="00C21CD7" w:rsidRDefault="00FD440C" w:rsidP="00C21CD7">
      <w:bookmarkStart w:id="0" w:name="_Hlk187708726"/>
    </w:p>
    <w:p w14:paraId="7DDEB8DB" w14:textId="77777777" w:rsidR="006B16CB" w:rsidRDefault="006B16CB" w:rsidP="00C21CD7">
      <w:pPr>
        <w:rPr>
          <w:b/>
          <w:bCs/>
        </w:rPr>
      </w:pPr>
    </w:p>
    <w:p w14:paraId="5992B7D3" w14:textId="000FEC09" w:rsidR="00C21CD7" w:rsidRPr="00C21CD7" w:rsidRDefault="00C21CD7" w:rsidP="00C21CD7">
      <w:r w:rsidRPr="00C21CD7">
        <w:rPr>
          <w:b/>
          <w:bCs/>
        </w:rPr>
        <w:t>Signed,</w:t>
      </w:r>
    </w:p>
    <w:p w14:paraId="6CA2F49D" w14:textId="36F03297" w:rsidR="00C21CD7" w:rsidRPr="00C21CD7" w:rsidRDefault="00C21CD7" w:rsidP="00C21CD7">
      <w:r w:rsidRPr="00C21CD7">
        <w:rPr>
          <w:i/>
          <w:iCs/>
        </w:rPr>
        <w:t xml:space="preserve">The </w:t>
      </w:r>
      <w:r w:rsidR="00FD440C">
        <w:rPr>
          <w:i/>
          <w:iCs/>
        </w:rPr>
        <w:t>Civil</w:t>
      </w:r>
      <w:r w:rsidRPr="00C21CD7">
        <w:rPr>
          <w:i/>
          <w:iCs/>
        </w:rPr>
        <w:t xml:space="preserve"> Party</w:t>
      </w:r>
    </w:p>
    <w:p w14:paraId="7B0AAC25" w14:textId="306702B2" w:rsidR="00ED09B5" w:rsidRDefault="00ED09B5"/>
    <w:p w14:paraId="5D0F545B" w14:textId="369F2D76" w:rsidR="001D6371" w:rsidRDefault="001D6371"/>
    <w:p w14:paraId="70DE823E" w14:textId="31152A9E" w:rsidR="001D6371" w:rsidRDefault="001D6371"/>
    <w:p w14:paraId="1375D237" w14:textId="4AF70714" w:rsidR="001D6371" w:rsidRDefault="006B16CB"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36C13BC" wp14:editId="0CD5C5BF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2459355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16" y="21416"/>
                <wp:lineTo x="21416" y="0"/>
                <wp:lineTo x="0" y="0"/>
              </wp:wrapPolygon>
            </wp:wrapTight>
            <wp:docPr id="613389538" name="Picture 2" descr="A qr code with a bitcoi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89538" name="Picture 2" descr="A qr code with a bitcoin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0F8B5" w14:textId="45BF80BF" w:rsidR="001D6371" w:rsidRDefault="001D6371"/>
    <w:p w14:paraId="5CFC4AC9" w14:textId="765EA16C" w:rsidR="001D6371" w:rsidRDefault="001D6371"/>
    <w:p w14:paraId="596B2C63" w14:textId="5197143D" w:rsidR="001D6371" w:rsidRDefault="001D6371"/>
    <w:p w14:paraId="3D50BBE8" w14:textId="1334FCA1" w:rsidR="001D6371" w:rsidRDefault="001D6371"/>
    <w:p w14:paraId="51016766" w14:textId="3B457A52" w:rsidR="001D6371" w:rsidRDefault="001D6371"/>
    <w:p w14:paraId="1D02E297" w14:textId="0404E5F8" w:rsidR="001D6371" w:rsidRDefault="001D6371"/>
    <w:bookmarkEnd w:id="0"/>
    <w:p w14:paraId="3ED19E88" w14:textId="6F2D0A8D" w:rsidR="001D6371" w:rsidRDefault="001D6371"/>
    <w:sectPr w:rsidR="001D6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2" style="width:0;height:1.5pt" o:hralign="center" o:bullet="t" o:hrstd="t" o:hr="t" fillcolor="#a0a0a0" stroked="f"/>
    </w:pict>
  </w:numPicBullet>
  <w:numPicBullet w:numPicBulletId="1">
    <w:pict>
      <v:rect id="_x0000_i1053" style="width:0;height:1.5pt" o:hralign="center" o:bullet="t" o:hrstd="t" o:hr="t" fillcolor="#a0a0a0" stroked="f"/>
    </w:pict>
  </w:numPicBullet>
  <w:abstractNum w:abstractNumId="0" w15:restartNumberingAfterBreak="0">
    <w:nsid w:val="04FB4BB1"/>
    <w:multiLevelType w:val="multilevel"/>
    <w:tmpl w:val="3782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64C15"/>
    <w:multiLevelType w:val="multilevel"/>
    <w:tmpl w:val="1E74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46BAD"/>
    <w:multiLevelType w:val="multilevel"/>
    <w:tmpl w:val="3A5C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25251"/>
    <w:multiLevelType w:val="multilevel"/>
    <w:tmpl w:val="5B648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07AE3"/>
    <w:multiLevelType w:val="multilevel"/>
    <w:tmpl w:val="3DE29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A58CE"/>
    <w:multiLevelType w:val="multilevel"/>
    <w:tmpl w:val="37D2E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6625F"/>
    <w:multiLevelType w:val="multilevel"/>
    <w:tmpl w:val="2A48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46717"/>
    <w:multiLevelType w:val="multilevel"/>
    <w:tmpl w:val="5406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E7146B"/>
    <w:multiLevelType w:val="multilevel"/>
    <w:tmpl w:val="F1A6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45F6A"/>
    <w:multiLevelType w:val="multilevel"/>
    <w:tmpl w:val="81DC4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43D12"/>
    <w:multiLevelType w:val="multilevel"/>
    <w:tmpl w:val="27C0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685358">
    <w:abstractNumId w:val="4"/>
  </w:num>
  <w:num w:numId="2" w16cid:durableId="381252264">
    <w:abstractNumId w:val="5"/>
  </w:num>
  <w:num w:numId="3" w16cid:durableId="1130320813">
    <w:abstractNumId w:val="10"/>
  </w:num>
  <w:num w:numId="4" w16cid:durableId="863590904">
    <w:abstractNumId w:val="7"/>
  </w:num>
  <w:num w:numId="5" w16cid:durableId="1746565663">
    <w:abstractNumId w:val="9"/>
  </w:num>
  <w:num w:numId="6" w16cid:durableId="870412917">
    <w:abstractNumId w:val="8"/>
  </w:num>
  <w:num w:numId="7" w16cid:durableId="635642415">
    <w:abstractNumId w:val="6"/>
  </w:num>
  <w:num w:numId="8" w16cid:durableId="1568564485">
    <w:abstractNumId w:val="0"/>
  </w:num>
  <w:num w:numId="9" w16cid:durableId="54856231">
    <w:abstractNumId w:val="3"/>
  </w:num>
  <w:num w:numId="10" w16cid:durableId="1788812459">
    <w:abstractNumId w:val="1"/>
  </w:num>
  <w:num w:numId="11" w16cid:durableId="250697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D7"/>
    <w:rsid w:val="00023DE4"/>
    <w:rsid w:val="0009503E"/>
    <w:rsid w:val="001D6371"/>
    <w:rsid w:val="0035743C"/>
    <w:rsid w:val="00360DC2"/>
    <w:rsid w:val="003732BB"/>
    <w:rsid w:val="00401646"/>
    <w:rsid w:val="005A1892"/>
    <w:rsid w:val="006B16CB"/>
    <w:rsid w:val="007A168A"/>
    <w:rsid w:val="009D7AD7"/>
    <w:rsid w:val="00B253FB"/>
    <w:rsid w:val="00BA0B31"/>
    <w:rsid w:val="00C14672"/>
    <w:rsid w:val="00C21CD7"/>
    <w:rsid w:val="00CD4C74"/>
    <w:rsid w:val="00D33821"/>
    <w:rsid w:val="00D66E5E"/>
    <w:rsid w:val="00E76416"/>
    <w:rsid w:val="00ED09B5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2EB3"/>
  <w15:chartTrackingRefBased/>
  <w15:docId w15:val="{F13BEE16-C455-4134-A01E-B40FEE29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6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Slik</dc:creator>
  <cp:keywords/>
  <dc:description/>
  <cp:lastModifiedBy>Real Slik</cp:lastModifiedBy>
  <cp:revision>6</cp:revision>
  <dcterms:created xsi:type="dcterms:W3CDTF">2025-01-14T05:56:00Z</dcterms:created>
  <dcterms:modified xsi:type="dcterms:W3CDTF">2025-01-15T06:44:00Z</dcterms:modified>
</cp:coreProperties>
</file>