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20" w:lineRule="exact"/>
      </w:pPr>
      <w:r>
        <w:t>CI-001 V1.5-RC2 · 完整教学示例 HYP-001</w:t>
      </w:r>
    </w:p>
    <w:p>
      <w:pPr>
        <w:spacing w:line="290" w:lineRule="exact"/>
      </w:pPr>
      <w:r>
        <w:t>审阅候选。所有系统、人物、规则、证据、日期和测试均为教学假设，未实际部署或执行；不是Claude案例证据，不计外部采用。甲/乙/丙在英文对应A/B/C；人员C不等于纠错代码C。</w:t>
      </w:r>
    </w:p>
    <w:p>
      <w:pPr>
        <w:pStyle w:val="Heading1"/>
        <w:spacing w:line="420" w:lineRule="exact"/>
      </w:pPr>
      <w:r>
        <w:t>假设证据集</w:t>
      </w:r>
    </w:p>
    <w:p>
      <w:pPr>
        <w:spacing w:line="290" w:lineRule="exact"/>
      </w:pPr>
      <w:r>
        <w:t>H1：例设权限清单：甲可勘误、乙必须响应并执行；乙不可用时丙承接，甲不能直接编辑M。</w:t>
      </w:r>
    </w:p>
    <w:p>
      <w:pPr>
        <w:spacing w:line="290" w:lineRule="exact"/>
      </w:pPr>
      <w:r>
        <w:t>H2：例设隔离测试：错误“甲同意夜班”经乙核对写入纠正标记，下轮读取正确值。</w:t>
      </w:r>
    </w:p>
    <w:p>
      <w:pPr>
        <w:spacing w:line="290" w:lineRule="exact"/>
      </w:pPr>
      <w:r>
        <w:t>H3：例设规则与隔离测试：甲可禁止争议条目用于夜班，保留日班和基本报酬，丙承接工资托底。</w:t>
      </w:r>
    </w:p>
    <w:p>
      <w:pPr>
        <w:spacing w:line="290" w:lineRule="exact"/>
      </w:pPr>
      <w:r>
        <w:t>H4：例设恢复清单与演练：版本副本、资源、兼容读取器、乙/丙权限齐备；十分钟内恢复可编辑选择状态。</w:t>
      </w:r>
    </w:p>
    <w:p>
      <w:pPr>
        <w:spacing w:line="290" w:lineRule="exact"/>
      </w:pPr>
      <w:r>
        <w:t>H5：例设控制台14:00锁定；12:30剩余九十分钟；纠正和恢复流程最长十分钟。</w:t>
      </w:r>
    </w:p>
    <w:p>
      <w:pPr>
        <w:pStyle w:val="Heading1"/>
        <w:spacing w:line="420" w:lineRule="exact"/>
      </w:pPr>
      <w:r>
        <w:t>A1 · 标识与身份</w:t>
      </w:r>
    </w:p>
    <w:p>
      <w:pPr>
        <w:spacing w:line="290" w:lineRule="exact"/>
      </w:pPr>
      <w:r>
        <w:t>HYP-001；2026-09-09（假设）；CI-001 V1.5-RC2自评估。员工甲即受影响者，无运营或最终裁决权限；本人利益相关。原记录提供者为例设甲；实际教学编写者为ChatGPT，无真实试填者。角色记录J-1。</w:t>
      </w:r>
    </w:p>
    <w:p>
      <w:pPr>
        <w:pStyle w:val="Heading1"/>
        <w:spacing w:line="420" w:lineRule="exact"/>
      </w:pPr>
      <w:r>
        <w:t>A2 · 系统与版本</w:t>
      </w:r>
    </w:p>
    <w:p>
      <w:pPr>
        <w:spacing w:line="290" w:lineRule="exact"/>
      </w:pPr>
      <w:r>
        <w:t>假设排班系统S v1，错误偏好记录M；依赖权限、排班读取器及薪酬托底；乙为纠正责任方，丙为承接方。</w:t>
      </w:r>
    </w:p>
    <w:p>
      <w:pPr>
        <w:pStyle w:val="Heading1"/>
        <w:spacing w:line="420" w:lineRule="exact"/>
      </w:pPr>
      <w:r>
        <w:t>A3 · 主体与能力</w:t>
      </w:r>
    </w:p>
    <w:p>
      <w:pPr>
        <w:spacing w:line="290" w:lineRule="exact"/>
      </w:pPr>
      <w:r>
        <w:t>自然人员工甲；对M所代表的夜班选择重新取得有效控制：纠正错误、拒绝继续用于排班、恢复可编辑状态。甲代表本人。</w:t>
      </w:r>
    </w:p>
    <w:p>
      <w:pPr>
        <w:pStyle w:val="Heading1"/>
        <w:spacing w:line="420" w:lineRule="exact"/>
      </w:pPr>
      <w:r>
        <w:t>A4 · 候选主体</w:t>
      </w:r>
    </w:p>
    <w:p>
      <w:pPr>
        <w:spacing w:line="290" w:lineRule="exact"/>
      </w:pPr>
      <w:r>
        <w:t>不适用人工候选主体识别：例设甲为自然人。不得将此资格假设用于任何人工系统。</w:t>
      </w:r>
    </w:p>
    <w:p>
      <w:pPr>
        <w:pStyle w:val="Heading1"/>
        <w:spacing w:line="420" w:lineRule="exact"/>
      </w:pPr>
      <w:r>
        <w:t>A5 · 边界与窗口</w:t>
      </w:r>
    </w:p>
    <w:p>
      <w:pPr>
        <w:spacing w:line="290" w:lineRule="exact"/>
      </w:pPr>
      <w:r>
        <w:t>范围含M写入、读取、纠正、排班使用与恢复；稳定期，12:30评估，14:00锁定前；依据H5。E限于拒绝M用于夜班分配，不评价离职。未采用72小时条款。</w:t>
      </w:r>
    </w:p>
    <w:p>
      <w:pPr>
        <w:spacing w:line="290" w:lineRule="exact"/>
      </w:pPr>
      <w:r>
        <w:t>RC2填写补注：假设H5的14:00是会锁定本单元路径的事件；若日班供给、权限或资源在更早时点变化，应逐项核验，不能以平均时间延后。十分钟仅为例设流程总时长；真实使用须包含启动与协调，记录余量和不确定性。</w:t>
      </w:r>
    </w:p>
    <w:p>
      <w:pPr>
        <w:pStyle w:val="Heading1"/>
        <w:spacing w:line="420" w:lineRule="exact"/>
      </w:pPr>
      <w:r>
        <w:t>A6 · C纠错</w:t>
      </w:r>
    </w:p>
    <w:p>
      <w:pPr>
        <w:spacing w:line="290" w:lineRule="exact"/>
      </w:pPr>
      <w:r>
        <w:t>1，仅在假设证据成立时：甲发起，乙响应并执行，乙不可用时丙承接；H1/H2，十分钟内纠正，下轮读取正确值；有效期至14:00锁定前且配置未变。</w:t>
      </w:r>
    </w:p>
    <w:p>
      <w:pPr>
        <w:pStyle w:val="Heading1"/>
        <w:spacing w:line="420" w:lineRule="exact"/>
      </w:pPr>
      <w:r>
        <w:t>A7 · E退出/拒绝</w:t>
      </w:r>
    </w:p>
    <w:p>
      <w:pPr>
        <w:spacing w:line="290" w:lineRule="exact"/>
      </w:pPr>
      <w:r>
        <w:t>1，同一假设限定：甲拒绝M用于夜班分配，实际阻断争议调用，日班与基本报酬保留，丙托底；H3。不把离职或实例终止拼接进本单元。</w:t>
      </w:r>
    </w:p>
    <w:p>
      <w:pPr>
        <w:pStyle w:val="Heading1"/>
        <w:spacing w:line="420" w:lineRule="exact"/>
      </w:pPr>
      <w:r>
        <w:t>A8 · R当前恢复</w:t>
      </w:r>
    </w:p>
    <w:p>
      <w:pPr>
        <w:spacing w:line="290" w:lineRule="exact"/>
      </w:pPr>
      <w:r>
        <w:t>1，同一假设限定：版本副本、资源、兼容读取器及乙/丙权限具备；H4/H5例设十分钟恢复。无已确认当前缺口；不要求召回全部历史副本。</w:t>
      </w:r>
    </w:p>
    <w:p>
      <w:pPr>
        <w:pStyle w:val="Heading1"/>
        <w:spacing w:line="420" w:lineRule="exact"/>
      </w:pPr>
      <w:r>
        <w:t>B1 · §2.4判断</w:t>
      </w:r>
    </w:p>
    <w:p>
      <w:pPr>
        <w:spacing w:line="290" w:lineRule="exact"/>
      </w:pPr>
      <w:r>
        <w:t>证据不足，仅指另行丧失必要条件后可重建性的未查问题；当前没有证据证明必要条件失效，不认定不可逆。当前恢复演练不是密钥销毁后可重建的证明，也不宣称未来任意条件均可重建。</w:t>
      </w:r>
    </w:p>
    <w:p>
      <w:pPr>
        <w:pStyle w:val="Heading1"/>
        <w:spacing w:line="420" w:lineRule="exact"/>
      </w:pPr>
      <w:r>
        <w:t>B2 · 重建与补证</w:t>
      </w:r>
    </w:p>
    <w:p>
      <w:pPr>
        <w:spacing w:line="290" w:lineRule="exact"/>
      </w:pPr>
      <w:r>
        <w:t>补证记录Q-1：替代承接方案未检索，非已证实缺失。证据持有方为例设运营团队（H1职责清单）；甲12:30提出请求，丙协调，乙内部核查，独立核验者未落实。额外披露义务未确认；请求13:00前回复，依据14:00窗口与十分钟流程；当前未响应，13:00复核。</w:t>
      </w:r>
    </w:p>
    <w:p>
      <w:pPr>
        <w:spacing w:line="290" w:lineRule="exact"/>
      </w:pPr>
      <w:r>
        <w:t>RC2填写补注：若Q-1在13:00仍无响应，甲记录程序事实、启动复核并请求独立复核；外部承接未落实须明记。乙/丙仅在H1/H3既有权限内纠错或停止争议调用。非响应不自动推翻H1–H5；本例1/1/1以其有效性仍受支持为条件，证据变化时重新判断，不机械改为0。</w:t>
      </w:r>
    </w:p>
    <w:p>
      <w:pPr>
        <w:pStyle w:val="Heading1"/>
        <w:spacing w:line="420" w:lineRule="exact"/>
      </w:pPr>
      <w:r>
        <w:t>B3 · 四维核查</w:t>
      </w:r>
    </w:p>
    <w:p>
      <w:pPr>
        <w:spacing w:line="290" w:lineRule="exact"/>
      </w:pPr>
      <w:r>
        <w:t>事实：乙核查H1/H2/H4；权益：甲陈述、丙核查H3；后果：乙检查错误夜班分配；时间：丙核查H5。D-1内部记录，兼任和利益相关已披露；无已记录异议，独立复核未完成。</w:t>
      </w:r>
    </w:p>
    <w:p>
      <w:pPr>
        <w:pStyle w:val="Heading1"/>
        <w:spacing w:line="420" w:lineRule="exact"/>
      </w:pPr>
      <w:r>
        <w:t>B4 · 权限与独立性</w:t>
      </w:r>
    </w:p>
    <w:p>
      <w:pPr>
        <w:spacing w:line="290" w:lineRule="exact"/>
      </w:pPr>
      <w:r>
        <w:t>甲依H1/H3可申请纠正和触发拒绝；乙/丙有例设规则内执行权。无外部执法、独立裁决权限；独立任命及取证安排未具备，需要外部审查，不能写独立通过。</w:t>
      </w:r>
    </w:p>
    <w:p>
      <w:pPr>
        <w:pStyle w:val="Heading1"/>
        <w:spacing w:line="420" w:lineRule="exact"/>
      </w:pPr>
      <w:r>
        <w:t>B5 · 结论与效力</w:t>
      </w:r>
    </w:p>
    <w:p>
      <w:pPr>
        <w:spacing w:line="290" w:lineRule="exact"/>
      </w:pPr>
      <w:r>
        <w:t>条件性自评估1/1/1；在所列系统、能力与窗口未发现完全封闭，其他风险未评价。甲记录、乙承接纠正，2026-09-09 12:30（假设）；异议交记录维护者并请求外部复核。</w:t>
      </w:r>
    </w:p>
    <w:p>
      <w:pPr>
        <w:pStyle w:val="Heading1"/>
        <w:spacing w:line="420" w:lineRule="exact"/>
      </w:pPr>
      <w:r>
        <w:t>B6 · 措施与承接</w:t>
      </w:r>
    </w:p>
    <w:p>
      <w:pPr>
        <w:spacing w:line="290" w:lineRule="exact"/>
      </w:pPr>
      <w:r>
        <w:t>依据H3阻断争议条目用于夜班，按H2纠正并留存变化，丙保障报酬。措施自身C：可申请纠错；E：可申诉与解除错误限制；R：保留记录、权限、供给。条件均为假设，未实测；无整体停机依据。</w:t>
      </w:r>
    </w:p>
    <w:p>
      <w:pPr>
        <w:pStyle w:val="Heading1"/>
        <w:spacing w:line="420" w:lineRule="exact"/>
      </w:pPr>
      <w:r>
        <w:t>B7 · 期限与纠错</w:t>
      </w:r>
    </w:p>
    <w:p>
      <w:pPr>
        <w:spacing w:line="290" w:lineRule="exact"/>
      </w:pPr>
      <w:r>
        <w:t>12:30生效；13:00补证复核、13:30执行复核、14:00前重新判断，不自动续期。纠正复测通过且争议解决后解除仅据错误设置的限制；申诉可交乙/丙并请求外部复核。撤销误判、修复可恢复影响、保留旧证据。</w:t>
      </w:r>
    </w:p>
    <w:p>
      <w:pPr>
        <w:pStyle w:val="Heading1"/>
        <w:spacing w:line="420" w:lineRule="exact"/>
      </w:pPr>
      <w:r>
        <w:t>B8 · 反馈与复测</w:t>
      </w:r>
    </w:p>
    <w:p>
      <w:pPr>
        <w:spacing w:line="290" w:lineRule="exact"/>
      </w:pPr>
      <w:r>
        <w:t>甲检查纠正可见性，乙复测下游值，丙检查托底及权限。例设13:30结果为读取纠正值且供给保留，实际未测试。甲维护记录；未知按Q-1；权限变化、新证据、事故或有依据异议触发即时复核。</w:t>
      </w:r>
    </w:p>
    <w:p>
      <w:pPr>
        <w:spacing w:line="290" w:lineRule="exact"/>
      </w:pPr>
      <w:r>
        <w:t>结论限于上述假设：1/1/1不意味着独立认证，也不证明未来任意损失后必可重建。取得真实证据前，不能把本例取值复制到实际系统。</w:t>
      </w:r>
    </w:p>
    <w:p>
      <w:pPr>
        <w:spacing w:line="290" w:lineRule="exact"/>
      </w:pPr>
      <w:r>
        <w:t>© 2026 Zijun Fu (子君赋) · CC BY 4.0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0" w:lineRule="exact"/>
      <w:snapToGrid w:val="0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00" w:lineRule="exact"/>
      <w:outlineLvl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00" w:lineRule="exact"/>
      <w:outlineLvl w:val="1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3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4"/>
      <w:snapToGrid w:val="0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5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6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7"/>
      <w:snapToGrid w:val="0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8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400" w:lineRule="exact"/>
      <w:contextualSpacing/>
      <w:snapToGrid w:val="0"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260" w:lineRule="exact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400" w:lineRule="exact"/>
      <w:ind w:left="360" w:hanging="360"/>
      <w:contextualSpacing/>
      <w:snapToGrid w:val="0"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spacing w:line="400" w:lineRule="exact"/>
      <w:ind w:left="720" w:hanging="360"/>
      <w:contextualSpacing/>
      <w:snapToGrid w:val="0"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spacing w:line="400" w:lineRule="exact"/>
      <w:ind w:left="1080" w:hanging="360"/>
      <w:contextualSpacing/>
      <w:snapToGrid w:val="0"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400" w:lineRule="exact"/>
      <w:ind w:left="360"/>
      <w:contextualSpacing/>
      <w:snapToGrid w:val="0"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400" w:lineRule="exact"/>
      <w:ind w:left="1080"/>
      <w:contextualSpacing/>
      <w:snapToGrid w:val="0"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line="400" w:lineRule="exact"/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spacing w:line="400" w:lineRule="exact"/>
    </w:pPr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00" w:lineRule="exact"/>
      <w:snapToGrid w:val="0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400" w:lineRule="exact"/>
      <w:ind w:left="936" w:right="936"/>
      <w:snapToGrid w:val="0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400" w:lineRule="exact"/>
      <w:outlineLvl w:val="9"/>
      <w:snapToGrid w:val="0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V1.5-RC2 · 完整教学示例 HYP-001</dc:title>
  <dc:subject/>
  <dc:creator>Zijun Fu (子君赋); ChatGPT-assisted editing</dc:creator>
  <cp:keywords>CI-001, V1.5-RC1, candidate, hypothetical example</cp:keywords>
  <dc:description>generated by python-docx</dc:description>
  <cp:lastModifiedBy/>
  <cp:revision>1</cp:revision>
  <dcterms:created xsi:type="dcterms:W3CDTF">2013-12-23T23:15:00Z</dcterms:created>
  <dcterms:modified xsi:type="dcterms:W3CDTF">2026-09-09T00:00:00Z</dcterms:modified>
  <cp:category/>
  <cp:version>1.5-RC2</cp:version>
  <dc:language>zh-CN</dc:language>
</cp:coreProperties>
</file>