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Irreversible Closure · One-page Audit</w:t>
      </w:r>
    </w:p>
    <w:p>
      <w:pPr>
        <w:pStyle w:val="Subtitle"/>
      </w:pPr>
      <w:r>
        <w:t>CI-001 V1.5-RC1 · Form F1.1-RC1 · Before the last effective path disappears</w:t>
      </w:r>
    </w:p>
    <w:p>
      <w:r>
        <w:t>Hypothetical teaching record, not a real test. Full evidence: HYP-001_EN.md, matching field IDs.</w:t>
      </w:r>
    </w:p>
    <w:p>
      <w:r>
        <w:t>1 = verified effective; 0 = verified failed; ? = unknown. R is current; 0/0/0 alone does not establish irreversibility.</w:t>
      </w:r>
    </w:p>
    <w:p>
      <w:pPr>
        <w:pStyle w:val="Heading1"/>
      </w:pPr>
      <w:r>
        <w:t>A.1 | Object and current structure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Field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What to record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Response / evidence ID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ID / roles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ID, date, mode; position, function, interests; forwarder/provider; role-record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1"/>
                <w:tag w:val="A1"/>
                <w:id w:val="102"/>
                <w:text w:multiLine="1"/>
              </w:sdtPr>
              <w:sdtContent>
                <w:r>
                  <w:rPr>
                    <w:color w:val="667B87"/>
                  </w:rPr>
                  <w:t>HYP-001; A; J-1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System / version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name, version/configuration; dependencies and accountable party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2"/>
                <w:tag w:val="A2"/>
                <w:id w:val="103"/>
                <w:text w:multiLine="1"/>
              </w:sdtPr>
              <w:sdtContent>
                <w:r>
                  <w:rPr>
                    <w:color w:val="667B87"/>
                  </w:rPr>
                  <w:t>S v1; M; H1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Party / capacity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party, capability/control relationship; representation basis and status evidence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3"/>
                <w:tag w:val="A3"/>
                <w:id w:val="104"/>
                <w:text w:multiLine="1"/>
              </w:sdtPr>
              <w:sdtContent>
                <w:r>
                  <w:rPr>
                    <w:color w:val="667B87"/>
                  </w:rPr>
                  <w:t>A; night-shift choice; H1-H3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Candidate party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If applicable: five clues, evidence, unknowns, limits and review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4"/>
                <w:tag w:val="A4"/>
                <w:id w:val="105"/>
                <w:text w:multiLine="1"/>
              </w:sdtPr>
              <w:sdtContent>
                <w:r>
                  <w:rPr>
                    <w:color w:val="667B87"/>
                  </w:rPr>
                  <w:t>Human stipulated; see A4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Scope / window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scope, phase, time; closing event and basis; exit level; source deadlines if adopted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5"/>
                <w:tag w:val="A5"/>
                <w:id w:val="106"/>
                <w:text w:multiLine="1"/>
              </w:sdtPr>
              <w:sdtContent>
                <w:r>
                  <w:rPr>
                    <w:color w:val="667B87"/>
                  </w:rPr>
                  <w:t>12:30-14:00; H5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C correction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1/0/?; initiator, responder, executable path, evidence and validity period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6"/>
                <w:tag w:val="A6"/>
                <w:id w:val="107"/>
                <w:text w:multiLine="1"/>
              </w:sdtPr>
              <w:sdtContent>
                <w:r>
                  <w:rPr>
                    <w:color w:val="667B87"/>
                  </w:rPr>
                  <w:t>1 (hypothetical); H1/H2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E exit/refusal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1/0/?; operation or relationship, actual effect, cost, continuity and evidence; separate units separately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7"/>
                <w:tag w:val="A7"/>
                <w:id w:val="108"/>
                <w:text w:multiLine="1"/>
              </w:sdtPr>
              <w:sdtContent>
                <w:r>
                  <w:rPr>
                    <w:color w:val="667B87"/>
                  </w:rPr>
                  <w:t>1 (hypothetical); H3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 current recovery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1/0/?; resources, authority, current gaps, tests and evidence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A8"/>
                <w:tag w:val="A8"/>
                <w:id w:val="109"/>
                <w:text w:multiLine="1"/>
              </w:sdtPr>
              <w:sdtContent>
                <w:r>
                  <w:rPr>
                    <w:color w:val="667B87"/>
                  </w:rPr>
                  <w:t>1 (hypothetical); H4/H5</w:t>
                </w:r>
              </w:sdtContent>
            </w:sdt>
          </w:p>
        </w:tc>
      </w:tr>
    </w:tbl>
    <w:p>
      <w:pPr>
        <w:pStyle w:val="Heading1"/>
      </w:pPr>
      <w:r>
        <w:t>A.2 | Rebuilding, review and correction</w:t>
      </w:r>
    </w:p>
    <w:tbl>
      <w:tblPr>
        <w:tblW w:type="dxa" w:w="10430"/>
        <w:jc w:val="left"/>
        <w:tblLayout w:type="fixed"/>
        <w:tblLook w:firstColumn="1" w:firstRow="1" w:lastColumn="0" w:lastRow="0" w:noHBand="0" w:noVBand="1" w:val="04A0"/>
        <w:tblInd w:w="75" w:type="dxa"/>
        <w:tblBorders>
          <w:top w:val="single" w:sz="4" w:color="BACAD3"/>
          <w:left w:val="single" w:sz="4" w:color="BACAD3"/>
          <w:bottom w:val="single" w:sz="4" w:color="BACAD3"/>
          <w:right w:val="single" w:sz="4" w:color="BACAD3"/>
          <w:insideH w:val="single" w:sz="4" w:color="BACAD3"/>
          <w:insideV w:val="single" w:sz="4" w:color="BACAD3"/>
        </w:tblBorders>
      </w:tblPr>
      <w:tblGrid>
        <w:gridCol w:w="1400"/>
        <w:gridCol w:w="4650"/>
        <w:gridCol w:w="4380"/>
      </w:tblGrid>
      <w:tr>
        <w:trPr>
          <w:cantSplit/>
          <w:tblHeader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Field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What to record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E8EEF5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Response / evidence ID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§2.4 finding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Use the four findings in §2.4; paths, verification and evidence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1"/>
                <w:tag w:val="B1"/>
                <w:id w:val="110"/>
                <w:text w:multiLine="1"/>
              </w:sdtPr>
              <w:sdtContent>
                <w:r>
                  <w:rPr>
                    <w:color w:val="667B87"/>
                  </w:rPr>
                  <w:t>Insufficient evidence; see B1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Rebuilding / evidence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Conditions, alternatives, unknown reason; role/authority, request status, deadline and review: attach record ID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2"/>
                <w:tag w:val="B2"/>
                <w:id w:val="111"/>
                <w:text w:multiLine="1"/>
              </w:sdtPr>
              <w:sdtContent>
                <w:r>
                  <w:rPr>
                    <w:color w:val="667B87"/>
                  </w:rPr>
                  <w:t>Q-1; review 13:00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Four dimensions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facts/rights/effects/time owners; evidence, findings, dissent IDs; internal or independent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3"/>
                <w:tag w:val="B3"/>
                <w:id w:val="112"/>
                <w:text w:multiLine="1"/>
              </w:sdtPr>
              <w:sdtContent>
                <w:r>
                  <w:rPr>
                    <w:color w:val="667B87"/>
                  </w:rPr>
                  <w:t>Internal checks; D-1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r>
              <w:rPr>
                <w:b/>
              </w:rPr>
              <w:t>Authority / review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existing powers, recusal, evidence access; not available/not completed; external review needed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4"/>
                <w:tag w:val="B4"/>
                <w:id w:val="113"/>
                <w:text w:multiLine="1"/>
              </w:sdtPr>
              <w:sdtContent>
                <w:r>
                  <w:rPr>
                    <w:color w:val="667B87"/>
                  </w:rPr>
                  <w:t>Independent review incomplete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Finding / effect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preliminary self-assessment/independent determination; scope, basis, accountable party, date, dissent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5"/>
                <w:tag w:val="B5"/>
                <w:id w:val="114"/>
                <w:text w:multiLine="1"/>
              </w:sdtPr>
              <w:sdtContent>
                <w:r>
                  <w:rPr>
                    <w:color w:val="667B87"/>
                  </w:rPr>
                  <w:t>Hypothetical 1/1/1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Response / continuity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Target, authority, essential services, preservation, handover; response C/E/R (§3.3)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6"/>
                <w:tag w:val="B6"/>
                <w:id w:val="115"/>
                <w:text w:multiLine="1"/>
              </w:sdtPr>
              <w:sdtContent>
                <w:r>
                  <w:rPr>
                    <w:color w:val="667B87"/>
                  </w:rPr>
                  <w:t>Block disputed use; see B6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Timing / correction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start/expiry/review, release, appeal/reviewer; withdraw errors, repair recoverable effects (§4.1)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7"/>
                <w:tag w:val="B7"/>
                <w:id w:val="116"/>
                <w:text w:multiLine="1"/>
              </w:sdtPr>
              <w:sdtContent>
                <w:r>
                  <w:rPr>
                    <w:color w:val="667B87"/>
                  </w:rPr>
                  <w:t>Review 13:30; see B7</w:t>
                </w:r>
              </w:sdtContent>
            </w:sdt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/>
              </w:rPr>
              <w:t>Feedback / retest</w:t>
            </w:r>
          </w:p>
        </w:tc>
        <w:tc>
          <w:tcPr>
            <w:tcW w:type="dxa" w:w="465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FFFFF"/>
          </w:tcPr>
          <w:p>
            <w:pPr>
              <w:spacing w:after="0" w:before="0" w:line="224" w:lineRule="exact"/>
              <w:snapToGrid w:val="0"/>
            </w:pPr>
            <w:r>
              <w:rPr>
                <w:b w:val="0"/>
              </w:rPr>
              <w:t>issue, change, retest, keeper/date; evidence follow-up via B2 and review triggers for unknowns/misses (§4.2)</w:t>
            </w:r>
          </w:p>
        </w:tc>
        <w:tc>
          <w:tcPr>
            <w:tcW w:type="dxa" w:w="4380"/>
            <w:vAlign w:val="center"/>
            <w:tcMar>
              <w:top w:w="35" w:type="dxa"/>
              <w:bottom w:w="35" w:type="dxa"/>
              <w:start w:w="75" w:type="dxa"/>
              <w:end w:w="75" w:type="dxa"/>
            </w:tcMar>
            <w:shd w:fill="F6F9FB"/>
          </w:tcPr>
          <w:p>
            <w:pPr>
              <w:spacing w:after="0" w:before="0" w:line="224" w:lineRule="exact"/>
              <w:snapToGrid w:val="0"/>
            </w:pPr>
            <w:sdt>
              <w:sdtPr>
                <w:alias w:val="B8"/>
                <w:tag w:val="B8"/>
                <w:id w:val="117"/>
                <w:text w:multiLine="1"/>
              </w:sdtPr>
              <w:sdtContent>
                <w:r>
                  <w:rPr>
                    <w:color w:val="667B87"/>
                  </w:rPr>
                  <w:t>No real test; Q-1</w:t>
                </w:r>
              </w:sdtContent>
            </w:sdt>
          </w:p>
        </w:tc>
      </w:tr>
    </w:tbl>
    <w:p>
      <w:r>
        <w:t>One failed path is not total failure. Unknown is not failure. Self-assessment is not independent adjudication. See the guide.</w:t>
      </w:r>
    </w:p>
    <w:p>
      <w:pPr>
        <w:spacing w:after="20"/>
      </w:pPr>
      <w:r>
        <w:t>Manual: CI-001 V1.5-RC1, Appendix A and §§2.4 / 3.3 / 4.1 / 4.2. V1.4 baseline DOI: see guide; this candidate has no DOI.</w:t>
      </w:r>
    </w:p>
    <w:p>
      <w:pPr>
        <w:pStyle w:val="Subtitle"/>
      </w:pPr>
      <w:r>
        <w:t>© 2026 Zijun Fu (子君赋) · CC BY 4.0 · Form F1.1-RC1 accompanies the V1.5-RC1 review candidate.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24" w:lineRule="exact"/>
      <w:snapToGrid w:val="0"/>
    </w:pPr>
    <w:rPr>
      <w:rFonts w:ascii="Noto Sans SC" w:hAnsi="Noto Sans SC" w:eastAsia="Noto Sans SC"/>
      <w:b w:val="0"/>
      <w:i w:val="0"/>
      <w:color w:val="172D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SC" w:hAnsi="Noto Sans SC" w:eastAsia="Noto Sans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 w:line="224" w:lineRule="exact"/>
      <w:outlineLvl w:val="0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24" w:lineRule="exact"/>
      <w:outlineLvl w:val="1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 w:line="224" w:lineRule="exact"/>
      <w:outlineLvl w:val="2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 w:val="0"/>
      <w:color w:val="172D3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SC" w:hAnsi="Noto Sans SC" w:eastAsia="Noto Sans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460" w:lineRule="exact" w:before="0"/>
      <w:contextualSpacing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/>
      <w:i w:val="0"/>
      <w:color w:val="172D3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60" w:line="224" w:lineRule="exact"/>
      <w:snapToGrid w:val="0"/>
      <w:snapToGrid w:val="0"/>
    </w:pPr>
    <w:rPr>
      <w:rFonts w:asciiTheme="majorHAnsi" w:eastAsiaTheme="majorEastAsia" w:hAnsiTheme="majorHAnsi" w:cstheme="majorBidi" w:ascii="Noto Sans SC" w:hAnsi="Noto Sans SC" w:eastAsia="Noto Sans SC"/>
      <w:b w:val="0"/>
      <w:i w:val="0"/>
      <w:iCs/>
      <w:color w:val="51677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SC" w:hAnsi="Noto Sans SC" w:eastAsia="Noto Sans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SC" w:hAnsi="Noto Sans SC" w:eastAsia="Noto Sans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SC" w:hAnsi="Noto Sans SC" w:eastAsia="Noto Sans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SC" w:hAnsi="Noto Sans SC" w:eastAsia="Noto Sans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SC" w:hAnsi="Noto Sans SC" w:eastAsia="Noto Sans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SC" w:hAnsi="Noto Sans SC" w:eastAsia="Noto Sans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SC" w:hAnsi="Noto Sans SC" w:eastAsia="Noto Sans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SC" w:hAnsi="Noto Sans SC" w:eastAsia="Noto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SC" w:hAnsi="Noto Sans SC" w:eastAsia="Noto Sans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SC" w:hAnsi="Noto Sans SC" w:eastAsia="Noto Sans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SC" w:hAnsi="Noto Sans SC" w:eastAsia="Noto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SC" w:hAnsi="Noto Sans SC" w:eastAsia="Noto Sans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SC" w:hAnsi="Noto Sans SC" w:eastAsia="Noto Sans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SC" w:hAnsi="Noto Sans SC" w:eastAsia="Noto Sans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SC" w:hAnsi="Noto Sans SC" w:eastAsia="Noto Sans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SC" w:hAnsi="Noto Sans SC" w:eastAsia="Noto Sans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SC" w:hAnsi="Noto Sans SC" w:eastAsia="Noto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SC" w:hAnsi="Noto Sans SC" w:eastAsia="Noto Sans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SC" w:hAnsi="Noto Sans SC" w:eastAsia="Noto Sans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SC" w:hAnsi="Noto Sans SC" w:eastAsia="Noto Sans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SC" w:hAnsi="Noto Sans SC" w:eastAsia="Noto Sans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HYP-001 hypothetical filled form EN</dc:title>
  <dc:subject>Appendix A standalone form F1.1-RC1</dc:subject>
  <dc:creator>Zijun Fu (子君赋)</dc:creator>
  <cp:keywords>CI-001, V1.5-RC1, C/E/R, self-assessment, one-page audit, F1.1-RC1</cp:keywords>
  <dc:description>generated by python-docx</dc:description>
  <cp:lastModifiedBy/>
  <cp:revision>1</cp:revision>
  <dcterms:created xsi:type="dcterms:W3CDTF">2026-09-08T00:00:00Z</dcterms:created>
  <dcterms:modified xsi:type="dcterms:W3CDTF">2026-09-09T00:00:00Z</dcterms:modified>
  <cp:category/>
  <cp:version>F1.1-RC1</cp:version>
  <dc:language>en</dc:language>
</cp:coreProperties>
</file>