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不可逆封闭 · 一页审计表</w:t>
      </w:r>
    </w:p>
    <w:p>
      <w:pPr>
        <w:pStyle w:val="Subtitle"/>
      </w:pPr>
      <w:r>
        <w:t>CI-001 V1.5-RC1 · 表单 F1.1-RC1 · 在最后一条有效路径消失之前</w:t>
      </w:r>
    </w:p>
    <w:p>
      <w:r>
        <w:t>教学假设，非真实测试。全部证据与角色说明见 HYP-001_ZH.md 对应字段。</w:t>
      </w:r>
    </w:p>
    <w:p>
      <w:r>
        <w:t>1＝已核验有效；0＝已核验失效；?＝证据不足。R仅指当前；0／0／0仍须另判不可逆性。</w:t>
      </w:r>
    </w:p>
    <w:p>
      <w:pPr>
        <w:pStyle w:val="Heading1"/>
      </w:pPr>
      <w:r>
        <w:t>A.1｜对象与当前结构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字段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核验提示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填写／证据编号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标识与身份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编号、日期、模式；填写者位置及职能、利益关系；转交者与原记录者分列，详项可附角色记录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1"/>
                <w:tag w:val="A1"/>
                <w:id w:val="102"/>
                <w:text w:multiLine="1"/>
              </w:sdtPr>
              <w:sdtContent>
                <w:r>
                  <w:rPr>
                    <w:color w:val="667B87"/>
                  </w:rPr>
                  <w:t>HYP-001；甲；J-1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系统与版本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名称、版本/配置；关键依赖与责任方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2"/>
                <w:tag w:val="A2"/>
                <w:id w:val="103"/>
                <w:text w:multiLine="1"/>
              </w:sdtPr>
              <w:sdtContent>
                <w:r>
                  <w:rPr>
                    <w:color w:val="667B87"/>
                  </w:rPr>
                  <w:t>系统S v1；M；H1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主体与能力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主体、能力/控制关系；代表依据及资格证据编号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3"/>
                <w:tag w:val="A3"/>
                <w:id w:val="104"/>
                <w:text w:multiLine="1"/>
              </w:sdtPr>
              <w:sdtContent>
                <w:r>
                  <w:rPr>
                    <w:color w:val="667B87"/>
                  </w:rPr>
                  <w:t>甲；夜班选择；H1-H3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候选主体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如适用，五项线索的证据、未知、局限及复核编号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4"/>
                <w:tag w:val="A4"/>
                <w:id w:val="105"/>
                <w:text w:multiLine="1"/>
              </w:sdtPr>
              <w:sdtContent>
                <w:r>
                  <w:rPr>
                    <w:color w:val="667B87"/>
                  </w:rPr>
                  <w:t>自然人假设；见A4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边界与窗口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范围、阶段、时点；关闭事件与依据；退出层级；同族时限如采用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5"/>
                <w:tag w:val="A5"/>
                <w:id w:val="106"/>
                <w:text w:multiLine="1"/>
              </w:sdtPr>
              <w:sdtContent>
                <w:r>
                  <w:rPr>
                    <w:color w:val="667B87"/>
                  </w:rPr>
                  <w:t>12:30-14:00；H5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C纠错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1/0/?；启动方、响应方、执行路径、证据及有效期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6"/>
                <w:tag w:val="A6"/>
                <w:id w:val="107"/>
                <w:text w:multiLine="1"/>
              </w:sdtPr>
              <w:sdtContent>
                <w:r>
                  <w:rPr>
                    <w:color w:val="667B87"/>
                  </w:rPr>
                  <w:t>1（假设）；H1/H2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E退出/拒绝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1/0/?；对应操作或关系、实际效果、代价、承接及证据；不同单元分表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7"/>
                <w:tag w:val="A7"/>
                <w:id w:val="108"/>
                <w:text w:multiLine="1"/>
              </w:sdtPr>
              <w:sdtContent>
                <w:r>
                  <w:rPr>
                    <w:color w:val="667B87"/>
                  </w:rPr>
                  <w:t>1（假设）；H3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R当前恢复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1/0/?；资源、权限、当前缺口、测试及证据编号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8"/>
                <w:tag w:val="A8"/>
                <w:id w:val="109"/>
                <w:text w:multiLine="1"/>
              </w:sdtPr>
              <w:sdtContent>
                <w:r>
                  <w:rPr>
                    <w:color w:val="667B87"/>
                  </w:rPr>
                  <w:t>1（假设）；H4/H5</w:t>
                </w:r>
              </w:sdtContent>
            </w:sdt>
          </w:p>
        </w:tc>
      </w:tr>
    </w:tbl>
    <w:p>
      <w:pPr>
        <w:pStyle w:val="Heading1"/>
      </w:pPr>
      <w:r>
        <w:t>A.2｜重建、复核与纠错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字段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核验提示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填写／证据编号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§2.4判断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可重建/结构性不可逆/现实条件下不可逆/证据不足；路径、验证及证据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1"/>
                <w:tag w:val="B1"/>
                <w:id w:val="110"/>
                <w:text w:multiLine="1"/>
              </w:sdtPr>
              <w:sdtContent>
                <w:r>
                  <w:rPr>
                    <w:color w:val="667B87"/>
                  </w:rPr>
                  <w:t>证据不足；见示例B1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重建与补证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条件、替代、未知原因；持有/请求/协调/核验及权限、状态、期限、复核，附补证记录编号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2"/>
                <w:tag w:val="B2"/>
                <w:id w:val="111"/>
                <w:text w:multiLine="1"/>
              </w:sdtPr>
              <w:sdtContent>
                <w:r>
                  <w:rPr>
                    <w:color w:val="667B87"/>
                  </w:rPr>
                  <w:t>Q-1；13:00复核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四维核查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事实/权益/后果/时间负责人及证据、结论、异议编号；注明内部或独立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3"/>
                <w:tag w:val="B3"/>
                <w:id w:val="112"/>
                <w:text w:multiLine="1"/>
              </w:sdtPr>
              <w:sdtContent>
                <w:r>
                  <w:rPr>
                    <w:color w:val="667B87"/>
                  </w:rPr>
                  <w:t>内部核查；D-1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权限与独立性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既有权限、回避、取证安排；未具备/未完成与外部复核需求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4"/>
                <w:tag w:val="B4"/>
                <w:id w:val="113"/>
                <w:text w:multiLine="1"/>
              </w:sdtPr>
              <w:sdtContent>
                <w:r>
                  <w:rPr>
                    <w:color w:val="667B87"/>
                  </w:rPr>
                  <w:t>独立复核未完成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结论与效力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自评估初判/独立裁决；范围、依据、责任方、日期及异议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5"/>
                <w:tag w:val="B5"/>
                <w:id w:val="114"/>
                <w:text w:multiLine="1"/>
              </w:sdtPr>
              <w:sdtContent>
                <w:r>
                  <w:rPr>
                    <w:color w:val="667B87"/>
                  </w:rPr>
                  <w:t>假设初判1/1/1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措施与承接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对象、权限、必要服务、保全与接续；措施本身接受C/E/R（§3.3）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6"/>
                <w:tag w:val="B6"/>
                <w:id w:val="115"/>
                <w:text w:multiLine="1"/>
              </w:sdtPr>
              <w:sdtContent>
                <w:r>
                  <w:rPr>
                    <w:color w:val="667B87"/>
                  </w:rPr>
                  <w:t>争议调用止用；见B6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期限与纠错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生效/到期/复审、解除、申诉/复核方；撤销误判、修复可恢复影响（§4.1）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7"/>
                <w:tag w:val="B7"/>
                <w:id w:val="116"/>
                <w:text w:multiLine="1"/>
              </w:sdtPr>
              <w:sdtContent>
                <w:r>
                  <w:rPr>
                    <w:color w:val="667B87"/>
                  </w:rPr>
                  <w:t>13:30复核；见B7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反馈与复测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问题、修改、复测、记录者/日期；未知/漏报按B2补证并记录复核触发（§4.2）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8"/>
                <w:tag w:val="B8"/>
                <w:id w:val="117"/>
                <w:text w:multiLine="1"/>
              </w:sdtPr>
              <w:sdtContent>
                <w:r>
                  <w:rPr>
                    <w:color w:val="667B87"/>
                  </w:rPr>
                  <w:t>未真实测试；Q-1</w:t>
                </w:r>
              </w:sdtContent>
            </w:sdt>
          </w:p>
        </w:tc>
      </w:tr>
    </w:tbl>
    <w:p>
      <w:r>
        <w:t>一条失败路径不代表整项失效；未知不等于失败。自评估不等于独立裁决。详见填写指南。</w:t>
      </w:r>
    </w:p>
    <w:p>
      <w:pPr>
        <w:spacing w:after="20"/>
      </w:pPr>
      <w:r>
        <w:t>说明书：CI-001 V1.5-RC1 附录A及§2.4／3.3／4.1／4.2。基线V1.4 DOI见指南；本候选无DOI。</w:t>
      </w:r>
    </w:p>
    <w:p>
      <w:pPr>
        <w:pStyle w:val="Subtitle"/>
      </w:pPr>
      <w:r>
        <w:t>© 2026 子君赋 / Zijun Fu · CC BY 4.0 · 表单F1.1-RC1 · 配套V1.5-RC1审阅候选。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24" w:lineRule="exact"/>
      <w:snapToGrid w:val="0"/>
    </w:pPr>
    <w:rPr>
      <w:rFonts w:ascii="Noto Sans SC" w:hAnsi="Noto Sans SC" w:eastAsia="Noto Sans SC"/>
      <w:b w:val="0"/>
      <w:i w:val="0"/>
      <w:color w:val="17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24" w:lineRule="exact"/>
      <w:outlineLvl w:val="0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24" w:lineRule="exact"/>
      <w:outlineLvl w:val="2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460" w:lineRule="exact" w:before="0"/>
      <w:contextualSpacing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172D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 w:line="224" w:lineRule="exact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5167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HYP-001 hypothetical filled form ZH</dc:title>
  <dc:subject>Appendix A standalone form F1.1-RC1</dc:subject>
  <dc:creator>Zijun Fu (子君赋)</dc:creator>
  <cp:keywords>CI-001, V1.5-RC1, C/E/R, self-assessment, one-page audit, F1.1-RC1</cp:keywords>
  <dc:description>generated by python-docx</dc:description>
  <cp:lastModifiedBy/>
  <cp:revision>1</cp:revision>
  <dcterms:created xsi:type="dcterms:W3CDTF">2026-09-08T00:00:00Z</dcterms:created>
  <dcterms:modified xsi:type="dcterms:W3CDTF">2026-09-09T00:00:00Z</dcterms:modified>
  <cp:category/>
  <cp:version>F1.1-RC1</cp:version>
  <dc:language>zh-CN</dc:language>
</cp:coreProperties>
</file>