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20" w:lineRule="exact"/>
      </w:pPr>
      <w:r>
        <w:t>CI-001 V1.5-RC2 · Completion Guide and Supporting Records</w:t>
      </w:r>
    </w:p>
    <w:p>
      <w:pPr>
        <w:spacing w:line="290" w:lineRule="exact"/>
      </w:pPr>
      <w:r>
        <w:t>Unpublished review candidate. Accompanies Form F1.1-RC1.</w:t>
      </w:r>
    </w:p>
    <w:p>
      <w:pPr>
        <w:spacing w:line="290" w:lineRule="exact"/>
      </w:pPr>
      <w:r>
        <w:t>Begin with one party, one critical capability, one scope and one time window. Operational authority is not required to start a record, and an affected party may complete the form. In A1, distinguish adoption mode, relationship to the system, function, actual authority and interests. Identify the original record provider when forwarding material. Self-report, preliminary judgment and independent final determination are different functions.</w:t>
      </w:r>
    </w:p>
    <w:p>
      <w:pPr>
        <w:spacing w:line="290" w:lineRule="exact"/>
      </w:pPr>
      <w:r>
        <w:t>Allow roughly an hour to organize existing evidence and make an initial entry. This is a planning estimate, not a validated completion time; evidence collection, testing, coordination and independent review take additional time. Partial completion is welcome. Keep unsupported findings unknown. Use attachment IDs for extended role descriptions, evidence and evidence requests; the form is their index.</w:t>
      </w:r>
    </w:p>
    <w:p>
      <w:pPr>
        <w:pStyle w:val="Heading1"/>
        <w:spacing w:line="400" w:lineRule="exact"/>
      </w:pPr>
      <w:r>
        <w:t>Start with the completed example</w:t>
      </w:r>
    </w:p>
    <w:p>
      <w:pPr>
        <w:spacing w:line="290" w:lineRule="exact"/>
      </w:pPr>
      <w:r>
        <w:t>Read the one-page examples/HYP-001_Filled_EN.docx first, then match field IDs to the full hypothetical evidence in HYP-001_EN.md. These examples already existed in RC1; this revision moves them to the entrance and adds no real-system case. When using unchanged Form F1.1-RC1, write “CI-001 V1.5-RC2 Self-Assessment” in A1. Appendix A retains the same 16 fields.</w:t>
      </w:r>
    </w:p>
    <w:p>
      <w:pPr>
        <w:pStyle w:val="Heading1"/>
        <w:spacing w:line="400" w:lineRule="exact"/>
      </w:pPr>
      <w:r>
        <w:t>C E R verification prompts</w:t>
      </w:r>
    </w:p>
    <w:p>
      <w:pPr>
        <w:spacing w:line="290" w:lineRule="exact"/>
      </w:pPr>
      <w:r>
        <w:t>These non-exhaustive prompts introduce no universal additional prerequisites. Values remain governed by Sections 2.1–2.4.</w:t>
      </w:r>
    </w:p>
    <w:p>
      <w:pPr>
        <w:spacing w:line="290" w:lineRule="exact"/>
      </w:pPr>
      <w:r>
        <w:t>C: check initiation, response duties, actual execution authority, records and downstream correction effects. A ticket ID without executable correction does not support 1. A first deployment may use appropriate isolated tests; a prior real appeal changing a rule is not mandatory.</w:t>
      </w:r>
    </w:p>
    <w:p>
      <w:pPr>
        <w:spacing w:line="290" w:lineRule="exact"/>
      </w:pPr>
      <w:r>
        <w:t>E: check the operation or relationship being refused, actual blocking effects, exit costs, essential supply and continuity. An affordable migration fee in a hypothetical case does not automatically invalidate exit; loss of the only essential supply without continuity does not establish protected exit. Assess costs against this party’s resources and window, not a universal monetary threshold.</w:t>
      </w:r>
    </w:p>
    <w:p>
      <w:pPr>
        <w:spacing w:line="290" w:lineRule="exact"/>
      </w:pPr>
      <w:r>
        <w:t>R: check currently usable resources, necessary records, compatible tools, recovery authority, dependencies and completion time. Exercises or alternative verification must cover the relevant actual conditions. Written recovery plans, off-site backups and independent initiation arrangements may provide evidence in relevant settings; they are not universal prerequisites. Backup count does not establish recoverability.</w:t>
      </w:r>
    </w:p>
    <w:p>
      <w:pPr>
        <w:spacing w:line="290" w:lineRule="exact"/>
      </w:pPr>
      <w:r>
        <w:t>For each item of evidence, state the claim supported, applicable version and conditions, method and limitations. Simulation supports behavior within its assumptions; an isolated exercise supports the tested path; a stress test covers specified loads. No method automatically proves every requirement. Where testing is unsafe, record alternative evidence and retain ? if support remains insufficient. Distinguish theoretical possibility, engineering feasibility and executability within the actual window, resources and authority. A value of 1 requires support for the last of these.</w:t>
      </w:r>
    </w:p>
    <w:p>
      <w:pPr>
        <w:pStyle w:val="Heading1"/>
        <w:spacing w:line="400" w:lineRule="exact"/>
      </w:pPr>
      <w:r>
        <w:t>Determine the window</w:t>
      </w:r>
    </w:p>
    <w:p>
      <w:pPr>
        <w:spacing w:line="290" w:lineRule="exact"/>
      </w:pPr>
      <w:r>
        <w:t>In A5, list threats to continued existence, necessary-resource exhaustion, rights deadlines and the next closing operation or iteration. For each, record the event, time or interval, evidence and affected path. Only events that actually close paths constrain them; not every update is a closing event. Constrain paths separately: do not average away an earlier deadline or infer total closure from one closed path.</w:t>
      </w:r>
    </w:p>
    <w:p>
      <w:pPr>
        <w:spacing w:line="290" w:lineRule="exact"/>
      </w:pPr>
      <w:r>
        <w:t>Compare initiation, coordination, execution and justified margins with the remaining window. Preserve ranges, disputes and review times where estimates are uncertain. There is no universal 72-hour threshold. In HYP-001, 14:00 comes from hypothetical H5 and ten minutes is the stipulated total procedure time, not a CI-001 requirement.</w:t>
      </w:r>
    </w:p>
    <w:p>
      <w:pPr>
        <w:pStyle w:val="Heading1"/>
        <w:spacing w:line="400" w:lineRule="exact"/>
      </w:pPr>
      <w:r>
        <w:t>Escalation and missing institutions</w:t>
      </w:r>
    </w:p>
    <w:p>
      <w:pPr>
        <w:spacing w:line="290" w:lineRule="exact"/>
      </w:pPr>
      <w:r>
        <w:t>B2 records whether requests were actually made and delivered, response status, duty basis and deadline justification. When a deadline passes without response, conflicting critical evidence affects the finding, or waiting may miss the last effective window, the record keeper initiates review and requests independent review under Section 4.2. Nonresponse alone does not change ? to 0. Change values only when evidence meets Section 2.2’s failure standard.</w:t>
      </w:r>
    </w:p>
    <w:p>
      <w:pPr>
        <w:spacing w:line="290" w:lineRule="exact"/>
      </w:pPr>
      <w:r>
        <w:t>Without an independent institution, continue self-assessment: B3 marks internal checks, B4 lists unavailable or incomplete roles and authority, and B5 records a preliminary finding. An affected party can document, alert and request preservation; the party controlling deployment may pause its own actions within existing authority. B6/B7 identify actual responsible parties, duration and release conditions. A request is not a coercive order; missing institutions do not excuse correction within existing authority. Appendix A contains the full requirements for all 16 fields.</w:t>
      </w:r>
    </w:p>
    <w:p>
      <w:pPr>
        <w:pStyle w:val="Heading1"/>
        <w:spacing w:line="420" w:lineRule="exact"/>
      </w:pPr>
      <w:r>
        <w:t>Role and evidence-request records</w:t>
      </w:r>
    </w:p>
    <w:p>
      <w:pPr>
        <w:spacing w:line="290" w:lineRule="exact"/>
      </w:pPr>
      <w:r>
        <w:t>Role record: record ID; person or system identifier; candidate status if applicable; position in the mechanism and control relationship; function; existing authority; interests; representation/forwarding basis; independent-review status.</w:t>
      </w:r>
    </w:p>
    <w:p>
      <w:pPr>
        <w:spacing w:line="290" w:lineRule="exact"/>
      </w:pPr>
      <w:r>
        <w:t>Evidence-request record: unknown item and assessment unit; reason unknown; evidence holder and basis; requester, coordinator, verifier; response-duty basis or unconfirmed; request date, requested deadline, critical window and basis; response/no response/not requested/unreachable status; material received and alternative evidence; next review; authorized responder or unassigned.</w:t>
      </w:r>
    </w:p>
    <w:p>
      <w:pPr>
        <w:spacing w:line="290" w:lineRule="exact"/>
      </w:pPr>
      <w:r>
        <w:t>Each attachment identifies its record ID, linked form ID, author and date. Disclose unassigned roles, unavailable authority, unconfirmed duties and undetermined times. Entry: ________.</w:t>
      </w:r>
    </w:p>
    <w:p>
      <w:pPr>
        <w:pStyle w:val="Heading1"/>
        <w:spacing w:line="420" w:lineRule="exact"/>
      </w:pPr>
      <w:r>
        <w:t>Boundary counterexamples (hypothetical)</w:t>
      </w:r>
    </w:p>
    <w:p>
      <w:pPr>
        <w:spacing w:line="290" w:lineRule="exact"/>
      </w:pPr>
      <w:r>
        <w:t>C counterexample: a ticket can be submitted, but no executable response and correction arrangement is established. The entry point alone does not justify 1. Retain ? when other relevant paths remain unresolved; one failed path does not justify 0.</w:t>
      </w:r>
    </w:p>
    <w:p>
      <w:pPr>
        <w:spacing w:line="290" w:lineRule="exact"/>
      </w:pPr>
      <w:r>
        <w:t>E counterexample: deleting the disputed service account also removes the only essential supply, with no verified continuity arrangement. The button does not establish protected exit. Other refusal or alternative paths still require examination.</w:t>
      </w:r>
    </w:p>
    <w:p>
      <w:pPr>
        <w:spacing w:line="290" w:lineRule="exact"/>
      </w:pPr>
      <w:r>
        <w:t>R counterexample: a backup exists, but required recovery authority is unavailable. The backup alone does not justify R = 1. Use 0 only for verified current insufficiency, and ? for insufficient evidence. Assess rebuilding authority separately under Section 2.4.</w:t>
      </w:r>
    </w:p>
    <w:p>
      <w:pPr>
        <w:pStyle w:val="Heading1"/>
        <w:spacing w:line="420" w:lineRule="exact"/>
      </w:pPr>
      <w:r>
        <w:t>Filling and saving</w:t>
      </w:r>
    </w:p>
    <w:p>
      <w:pPr>
        <w:spacing w:line="290" w:lineRule="exact"/>
      </w:pPr>
      <w:r>
        <w:t>In Word, fill the 16 content controls. Use a PDF reader supporting AcroForm saving. Put long answers in attachments and enter summaries and IDs in the form. Reopen after saving and check for clipping before printing. Disclose incomplete independent review. Responses remain subject to Sections 3.3, 4.1 and 4.2.</w:t>
      </w:r>
    </w:p>
    <w:p>
      <w:pPr>
        <w:pStyle w:val="Heading1"/>
        <w:spacing w:line="420" w:lineRule="exact"/>
      </w:pPr>
      <w:r>
        <w:t>Version and reproducibility</w:t>
      </w:r>
    </w:p>
    <w:p>
      <w:pPr>
        <w:spacing w:line="290" w:lineRule="exact"/>
      </w:pPr>
      <w:r>
        <w:t>Published V1.4 baseline: https://doi.org/10.5281/zenodo.22657725</w:t>
      </w:r>
    </w:p>
    <w:p>
      <w:pPr>
        <w:spacing w:line="290" w:lineRule="exact"/>
      </w:pPr>
      <w:r>
        <w:t>This DOI does not identify this candidate. This package’s SHA256SUMS covers its files only, contains no source manuscripts, and does not replace historical manifests. Linux: sha256sum -c SHA256SUMS; macOS: shasum -a 256 -c SHA256SUMS. Hashes establish byte consistency with the manifest, not citation accuracy or independence.</w:t>
      </w:r>
    </w:p>
    <w:p>
      <w:pPr>
        <w:spacing w:line="290" w:lineRule="exact"/>
      </w:pPr>
      <w:r>
        <w:t>© 2026 Zijun Fu (子君赋) · CC BY 4.0</w:t>
      </w:r>
    </w:p>
    <w:sectPr w:rsidR="00FC693F" w:rsidRPr="0006063C" w:rsidSect="00034616">
      <w:headerReference w:type="default" r:id="rId9"/>
      <w:footerReference w:type="default" r:id="rId10"/>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0" w:lineRule="exact"/>
      <w:snapToGrid w:val="0"/>
    </w:pPr>
    <w:rPr>
      <w:rFonts w:ascii="Noto Sans SC" w:hAnsi="Noto Sans SC" w:eastAsia="Noto Sans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400" w:lineRule="exact"/>
      <w:snapToGrid w:val="0"/>
    </w:pPr>
    <w:rPr>
      <w:rFonts w:ascii="Noto Sans SC" w:hAnsi="Noto Sans SC" w:eastAsia="Noto Sans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400" w:lineRule="exact"/>
      <w:snapToGrid w:val="0"/>
    </w:pPr>
    <w:rPr>
      <w:rFonts w:ascii="Noto Sans SC" w:hAnsi="Noto Sans SC" w:eastAsia="Noto Sans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400" w:lineRule="exact"/>
      <w:outlineLvl w:val="0"/>
      <w:snapToGrid w:val="0"/>
    </w:pPr>
    <w:rPr>
      <w:rFonts w:asciiTheme="majorHAnsi" w:eastAsiaTheme="majorEastAsia" w:hAnsiTheme="majorHAnsi" w:cstheme="majorBidi" w:ascii="Noto Sans SC" w:hAnsi="Noto Sans SC" w:eastAsia="Noto Sans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400" w:lineRule="exact"/>
      <w:outlineLvl w:val="1"/>
      <w:snapToGrid w:val="0"/>
    </w:pPr>
    <w:rPr>
      <w:rFonts w:asciiTheme="majorHAnsi" w:eastAsiaTheme="majorEastAsia" w:hAnsiTheme="majorHAnsi" w:cstheme="majorBidi" w:ascii="Noto Sans SC" w:hAnsi="Noto Sans SC" w:eastAsia="Noto Sans S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line="400" w:lineRule="exact"/>
      <w:outlineLvl w:val="2"/>
      <w:snapToGrid w:val="0"/>
    </w:pPr>
    <w:rPr>
      <w:rFonts w:asciiTheme="majorHAnsi" w:eastAsiaTheme="majorEastAsia" w:hAnsiTheme="majorHAnsi" w:cstheme="majorBidi" w:ascii="Noto Sans SC" w:hAnsi="Noto Sans SC" w:eastAsia="Noto Sans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line="400" w:lineRule="exact"/>
      <w:outlineLvl w:val="3"/>
      <w:snapToGrid w:val="0"/>
    </w:pPr>
    <w:rPr>
      <w:rFonts w:asciiTheme="majorHAnsi" w:eastAsiaTheme="majorEastAsia" w:hAnsiTheme="majorHAnsi" w:cstheme="majorBidi" w:ascii="Noto Sans SC" w:hAnsi="Noto Sans SC" w:eastAsia="Noto Sans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line="400" w:lineRule="exact"/>
      <w:outlineLvl w:val="4"/>
      <w:snapToGrid w:val="0"/>
    </w:pPr>
    <w:rPr>
      <w:rFonts w:asciiTheme="majorHAnsi" w:eastAsiaTheme="majorEastAsia" w:hAnsiTheme="majorHAnsi" w:cstheme="majorBidi" w:ascii="Noto Sans SC" w:hAnsi="Noto Sans SC" w:eastAsia="Noto Sans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line="400" w:lineRule="exact"/>
      <w:outlineLvl w:val="5"/>
      <w:snapToGrid w:val="0"/>
    </w:pPr>
    <w:rPr>
      <w:rFonts w:asciiTheme="majorHAnsi" w:eastAsiaTheme="majorEastAsia" w:hAnsiTheme="majorHAnsi" w:cstheme="majorBidi" w:ascii="Noto Sans SC" w:hAnsi="Noto Sans SC" w:eastAsia="Noto Sans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line="400" w:lineRule="exact"/>
      <w:outlineLvl w:val="6"/>
      <w:snapToGrid w:val="0"/>
    </w:pPr>
    <w:rPr>
      <w:rFonts w:asciiTheme="majorHAnsi" w:eastAsiaTheme="majorEastAsia" w:hAnsiTheme="majorHAnsi" w:cstheme="majorBidi" w:ascii="Noto Sans SC" w:hAnsi="Noto Sans SC" w:eastAsia="Noto Sans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line="400" w:lineRule="exact"/>
      <w:outlineLvl w:val="7"/>
      <w:snapToGrid w:val="0"/>
    </w:pPr>
    <w:rPr>
      <w:rFonts w:asciiTheme="majorHAnsi" w:eastAsiaTheme="majorEastAsia" w:hAnsiTheme="majorHAnsi" w:cstheme="majorBidi" w:ascii="Noto Sans SC" w:hAnsi="Noto Sans SC" w:eastAsia="Noto Sans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400" w:lineRule="exact"/>
      <w:outlineLvl w:val="8"/>
      <w:snapToGrid w:val="0"/>
    </w:pPr>
    <w:rPr>
      <w:rFonts w:asciiTheme="majorHAnsi" w:eastAsiaTheme="majorEastAsia" w:hAnsiTheme="majorHAnsi" w:cstheme="majorBidi" w:ascii="Noto Sans SC" w:hAnsi="Noto Sans SC" w:eastAsia="Noto Sans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00" w:lineRule="exact"/>
      <w:snapToGrid w:val="0"/>
    </w:pPr>
    <w:rPr>
      <w:rFonts w:ascii="Noto Sans SC" w:hAnsi="Noto Sans SC" w:eastAsia="Noto Sans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400" w:lineRule="exact"/>
      <w:contextualSpacing/>
      <w:snapToGrid w:val="0"/>
    </w:pPr>
    <w:rPr>
      <w:rFonts w:asciiTheme="majorHAnsi" w:eastAsiaTheme="majorEastAsia" w:hAnsiTheme="majorHAnsi" w:cstheme="majorBidi" w:ascii="Noto Sans SC" w:hAnsi="Noto Sans SC" w:eastAsia="Noto Sans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pacing w:line="260" w:lineRule="exact"/>
    </w:pPr>
    <w:rPr>
      <w:rFonts w:asciiTheme="majorHAnsi" w:eastAsiaTheme="majorEastAsia" w:hAnsiTheme="majorHAnsi" w:cstheme="majorBidi" w:ascii="Noto Sans SC" w:hAnsi="Noto Sans SC" w:eastAsia="Noto Sans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400" w:lineRule="exact"/>
      <w:ind w:left="720"/>
      <w:contextualSpacing/>
      <w:snapToGrid w:val="0"/>
    </w:pPr>
    <w:rPr>
      <w:rFonts w:ascii="Noto Sans SC" w:hAnsi="Noto Sans SC" w:eastAsia="Noto Sans SC"/>
    </w:rPr>
  </w:style>
  <w:style w:type="paragraph" w:styleId="BodyText">
    <w:name w:val="Body Text"/>
    <w:basedOn w:val="Normal"/>
    <w:link w:val="BodyTextChar"/>
    <w:uiPriority w:val="99"/>
    <w:unhideWhenUsed/>
    <w:rsid w:val="00AA1D8D"/>
    <w:pPr>
      <w:spacing w:after="120" w:line="400" w:lineRule="exact"/>
      <w:snapToGrid w:val="0"/>
    </w:pPr>
    <w:rPr>
      <w:rFonts w:ascii="Noto Sans SC" w:hAnsi="Noto Sans SC" w:eastAsia="Noto Sans S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00" w:lineRule="exact"/>
      <w:snapToGrid w:val="0"/>
    </w:pPr>
    <w:rPr>
      <w:rFonts w:ascii="Noto Sans SC" w:hAnsi="Noto Sans SC" w:eastAsia="Noto Sans S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400" w:lineRule="exact"/>
      <w:snapToGrid w:val="0"/>
    </w:pPr>
    <w:rPr>
      <w:rFonts w:ascii="Noto Sans SC" w:hAnsi="Noto Sans SC" w:eastAsia="Noto Sans S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400" w:lineRule="exact"/>
      <w:ind w:left="360" w:hanging="360"/>
      <w:contextualSpacing/>
      <w:snapToGrid w:val="0"/>
    </w:pPr>
    <w:rPr>
      <w:rFonts w:ascii="Noto Sans SC" w:hAnsi="Noto Sans SC" w:eastAsia="Noto Sans SC"/>
    </w:rPr>
  </w:style>
  <w:style w:type="paragraph" w:styleId="List2">
    <w:name w:val="List 2"/>
    <w:basedOn w:val="Normal"/>
    <w:uiPriority w:val="99"/>
    <w:unhideWhenUsed/>
    <w:rsid w:val="00326F90"/>
    <w:pPr>
      <w:spacing w:line="400" w:lineRule="exact"/>
      <w:ind w:left="720" w:hanging="360"/>
      <w:contextualSpacing/>
      <w:snapToGrid w:val="0"/>
    </w:pPr>
    <w:rPr>
      <w:rFonts w:ascii="Noto Sans SC" w:hAnsi="Noto Sans SC" w:eastAsia="Noto Sans SC"/>
    </w:rPr>
  </w:style>
  <w:style w:type="paragraph" w:styleId="List3">
    <w:name w:val="List 3"/>
    <w:basedOn w:val="Normal"/>
    <w:uiPriority w:val="99"/>
    <w:unhideWhenUsed/>
    <w:rsid w:val="00326F90"/>
    <w:pPr>
      <w:spacing w:line="400" w:lineRule="exact"/>
      <w:ind w:left="1080" w:hanging="360"/>
      <w:contextualSpacing/>
      <w:snapToGrid w:val="0"/>
    </w:pPr>
    <w:rPr>
      <w:rFonts w:ascii="Noto Sans SC" w:hAnsi="Noto Sans SC" w:eastAsia="Noto Sans SC"/>
    </w:rPr>
  </w:style>
  <w:style w:type="paragraph" w:styleId="ListBullet">
    <w:name w:val="List Bullet"/>
    <w:basedOn w:val="Normal"/>
    <w:uiPriority w:val="99"/>
    <w:unhideWhenUsed/>
    <w:rsid w:val="00326F90"/>
    <w:pPr>
      <w:numPr>
        <w:numId w:val="1"/>
      </w:numPr>
      <w:spacing w:line="400" w:lineRule="exact"/>
      <w:contextualSpacing/>
      <w:snapToGrid w:val="0"/>
    </w:pPr>
    <w:rPr>
      <w:rFonts w:ascii="Noto Sans SC" w:hAnsi="Noto Sans SC" w:eastAsia="Noto Sans SC"/>
    </w:rPr>
  </w:style>
  <w:style w:type="paragraph" w:styleId="ListBullet2">
    <w:name w:val="List Bullet 2"/>
    <w:basedOn w:val="Normal"/>
    <w:uiPriority w:val="99"/>
    <w:unhideWhenUsed/>
    <w:rsid w:val="00326F90"/>
    <w:pPr>
      <w:numPr>
        <w:numId w:val="2"/>
      </w:numPr>
      <w:spacing w:line="400" w:lineRule="exact"/>
      <w:contextualSpacing/>
      <w:snapToGrid w:val="0"/>
    </w:pPr>
    <w:rPr>
      <w:rFonts w:ascii="Noto Sans SC" w:hAnsi="Noto Sans SC" w:eastAsia="Noto Sans SC"/>
    </w:rPr>
  </w:style>
  <w:style w:type="paragraph" w:styleId="ListBullet3">
    <w:name w:val="List Bullet 3"/>
    <w:basedOn w:val="Normal"/>
    <w:uiPriority w:val="99"/>
    <w:unhideWhenUsed/>
    <w:rsid w:val="00326F90"/>
    <w:pPr>
      <w:numPr>
        <w:numId w:val="3"/>
      </w:numPr>
      <w:spacing w:line="400" w:lineRule="exact"/>
      <w:contextualSpacing/>
      <w:snapToGrid w:val="0"/>
    </w:pPr>
    <w:rPr>
      <w:rFonts w:ascii="Noto Sans SC" w:hAnsi="Noto Sans SC" w:eastAsia="Noto Sans SC"/>
    </w:rPr>
  </w:style>
  <w:style w:type="paragraph" w:styleId="ListNumber">
    <w:name w:val="List Number"/>
    <w:basedOn w:val="Normal"/>
    <w:uiPriority w:val="99"/>
    <w:unhideWhenUsed/>
    <w:rsid w:val="00326F90"/>
    <w:pPr>
      <w:numPr>
        <w:numId w:val="5"/>
      </w:numPr>
      <w:spacing w:line="400" w:lineRule="exact"/>
      <w:contextualSpacing/>
      <w:snapToGrid w:val="0"/>
    </w:pPr>
    <w:rPr>
      <w:rFonts w:ascii="Noto Sans SC" w:hAnsi="Noto Sans SC" w:eastAsia="Noto Sans SC"/>
    </w:rPr>
  </w:style>
  <w:style w:type="paragraph" w:styleId="ListNumber2">
    <w:name w:val="List Number 2"/>
    <w:basedOn w:val="Normal"/>
    <w:uiPriority w:val="99"/>
    <w:unhideWhenUsed/>
    <w:rsid w:val="0029639D"/>
    <w:pPr>
      <w:numPr>
        <w:numId w:val="6"/>
      </w:numPr>
      <w:spacing w:line="400" w:lineRule="exact"/>
      <w:contextualSpacing/>
      <w:snapToGrid w:val="0"/>
    </w:pPr>
    <w:rPr>
      <w:rFonts w:ascii="Noto Sans SC" w:hAnsi="Noto Sans SC" w:eastAsia="Noto Sans SC"/>
    </w:rPr>
  </w:style>
  <w:style w:type="paragraph" w:styleId="ListNumber3">
    <w:name w:val="List Number 3"/>
    <w:basedOn w:val="Normal"/>
    <w:uiPriority w:val="99"/>
    <w:unhideWhenUsed/>
    <w:rsid w:val="0029639D"/>
    <w:pPr>
      <w:numPr>
        <w:numId w:val="7"/>
      </w:numPr>
      <w:spacing w:line="400" w:lineRule="exact"/>
      <w:contextualSpacing/>
      <w:snapToGrid w:val="0"/>
    </w:pPr>
    <w:rPr>
      <w:rFonts w:ascii="Noto Sans SC" w:hAnsi="Noto Sans SC" w:eastAsia="Noto Sans SC"/>
    </w:rPr>
  </w:style>
  <w:style w:type="paragraph" w:styleId="ListContinue">
    <w:name w:val="List Continue"/>
    <w:basedOn w:val="Normal"/>
    <w:uiPriority w:val="99"/>
    <w:unhideWhenUsed/>
    <w:rsid w:val="0029639D"/>
    <w:pPr>
      <w:spacing w:after="120" w:line="400" w:lineRule="exact"/>
      <w:ind w:left="360"/>
      <w:contextualSpacing/>
      <w:snapToGrid w:val="0"/>
    </w:pPr>
    <w:rPr>
      <w:rFonts w:ascii="Noto Sans SC" w:hAnsi="Noto Sans SC" w:eastAsia="Noto Sans SC"/>
    </w:rPr>
  </w:style>
  <w:style w:type="paragraph" w:styleId="ListContinue2">
    <w:name w:val="List Continue 2"/>
    <w:basedOn w:val="Normal"/>
    <w:uiPriority w:val="99"/>
    <w:unhideWhenUsed/>
    <w:rsid w:val="0029639D"/>
    <w:pPr>
      <w:spacing w:after="120" w:line="400" w:lineRule="exact"/>
      <w:ind w:left="720"/>
      <w:contextualSpacing/>
      <w:snapToGrid w:val="0"/>
    </w:pPr>
    <w:rPr>
      <w:rFonts w:ascii="Noto Sans SC" w:hAnsi="Noto Sans SC" w:eastAsia="Noto Sans SC"/>
    </w:rPr>
  </w:style>
  <w:style w:type="paragraph" w:styleId="ListContinue3">
    <w:name w:val="List Continue 3"/>
    <w:basedOn w:val="Normal"/>
    <w:uiPriority w:val="99"/>
    <w:unhideWhenUsed/>
    <w:rsid w:val="0029639D"/>
    <w:pPr>
      <w:spacing w:after="120" w:line="400" w:lineRule="exact"/>
      <w:ind w:left="1080"/>
      <w:contextualSpacing/>
      <w:snapToGrid w:val="0"/>
    </w:pPr>
    <w:rPr>
      <w:rFonts w:ascii="Noto Sans SC" w:hAnsi="Noto Sans SC" w:eastAsia="Noto Sans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spacing w:line="400" w:lineRule="exact"/>
    </w:pPr>
    <w:rPr>
      <w:rFonts w:ascii="Noto Sans SC" w:hAnsi="Noto Sans SC" w:eastAsia="Noto Sans S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spacing w:line="400" w:lineRule="exact"/>
    </w:pPr>
    <w:rPr>
      <w:rFonts w:ascii="Noto Sans SC" w:hAnsi="Noto Sans SC" w:eastAsia="Noto Sans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00" w:lineRule="exact"/>
      <w:snapToGrid w:val="0"/>
    </w:pPr>
    <w:rPr>
      <w:rFonts w:ascii="Noto Sans SC" w:hAnsi="Noto Sans SC" w:eastAsia="Noto Sans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line="400" w:lineRule="exact"/>
      <w:ind w:left="936" w:right="936"/>
      <w:snapToGrid w:val="0"/>
    </w:pPr>
    <w:rPr>
      <w:rFonts w:ascii="Noto Sans SC" w:hAnsi="Noto Sans SC" w:eastAsia="Noto Sans S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400" w:lineRule="exact"/>
      <w:outlineLvl w:val="9"/>
      <w:snapToGrid w:val="0"/>
    </w:pPr>
    <w:rPr>
      <w:rFonts w:ascii="Noto Sans SC" w:hAnsi="Noto Sans SC" w:eastAsia="Noto Sans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CI-001 V1.5-RC2 · Completion Guide and Supporting Records</dc:title>
  <dc:subject/>
  <dc:creator>Zijun Fu (子君赋); ChatGPT-assisted editing</dc:creator>
  <cp:keywords>CI-001, V1.5-RC1, candidate, hypothetical example</cp:keywords>
  <dc:description>generated by python-docx</dc:description>
  <cp:lastModifiedBy/>
  <cp:revision>1</cp:revision>
  <dcterms:created xsi:type="dcterms:W3CDTF">2013-12-23T23:15:00Z</dcterms:created>
  <dcterms:modified xsi:type="dcterms:W3CDTF">2026-09-09T00:00:00Z</dcterms:modified>
  <cp:category/>
  <cp:version>1.5-RC2</cp:version>
  <dc:language>en</dc:language>
</cp:coreProperties>
</file>