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20" w:lineRule="exact"/>
      </w:pPr>
      <w:r>
        <w:t>CI-001 V1.5-RC2 · 填写指南与补充记录</w:t>
      </w:r>
    </w:p>
    <w:p>
      <w:pPr>
        <w:spacing w:line="290" w:lineRule="exact"/>
      </w:pPr>
      <w:r>
        <w:t>审阅候选，未发布。配套表单F1.1-RC1。</w:t>
      </w:r>
    </w:p>
    <w:p>
      <w:pPr>
        <w:spacing w:line="290" w:lineRule="exact"/>
      </w:pPr>
      <w:r>
        <w:t>先选一个主体、一项关键能力、一个范围与时间窗口；无需运营权限即可开始记录。填写者本人可以是受影响者。A1分别注明采用模式、与系统的关系、承担职能、实际权限和利益关系；转交他人材料时注明原记录者。自述、初步判断和独立最终裁决是不同职能。</w:t>
      </w:r>
    </w:p>
    <w:p>
      <w:pPr>
        <w:spacing w:line="290" w:lineRule="exact"/>
      </w:pPr>
      <w:r>
        <w:t>可预留约一小时整理已有证据并做首次填写。这是规划估计，不是经验证的完成时限；完整取证、试验、协调与独立复核另计。不必一次填完，无法支持的判断保留未知。较长角色说明、证据和补证请求另附编号，表单作为索引。</w:t>
      </w:r>
    </w:p>
    <w:p>
      <w:pPr>
        <w:pStyle w:val="Heading1"/>
        <w:spacing w:line="400" w:lineRule="exact"/>
      </w:pPr>
      <w:r>
        <w:t>从已填示例开始</w:t>
      </w:r>
    </w:p>
    <w:p>
      <w:pPr>
        <w:spacing w:line="290" w:lineRule="exact"/>
      </w:pPr>
      <w:r>
        <w:t>先看 examples/HYP-001_Filled_ZH.docx 的一页填法，再按字段编号读 HYP-001_ZH.md 的完整假设证据。示例在RC1已存在；本轮前置入口，不新增真实系统案例。使用现有F1.1-RC1空白表时，在A1写“CI-001 V1.5-RC2自评估”，附录A仍保留同样16字段。</w:t>
      </w:r>
    </w:p>
    <w:p>
      <w:pPr>
        <w:pStyle w:val="Heading1"/>
        <w:spacing w:line="400" w:lineRule="exact"/>
      </w:pPr>
      <w:r>
        <w:t>C E R核验要点</w:t>
      </w:r>
    </w:p>
    <w:p>
      <w:pPr>
        <w:spacing w:line="290" w:lineRule="exact"/>
      </w:pPr>
      <w:r>
        <w:t>以下是非穷举提示，不构成新的通用硬门槛；取值仍依正文§2.1–2.4。</w:t>
      </w:r>
    </w:p>
    <w:p>
      <w:pPr>
        <w:spacing w:line="290" w:lineRule="exact"/>
      </w:pPr>
      <w:r>
        <w:t>C：核对启动方、响应责任、实际执行权限、处理记录与下游纠正效果；只有受理编号，没有可执行纠正安排，不能支持1。首次部署可用适当隔离测试等证据，不要求必须已有一次真实申诉改变规则。</w:t>
      </w:r>
    </w:p>
    <w:p>
      <w:pPr>
        <w:spacing w:line="290" w:lineRule="exact"/>
      </w:pPr>
      <w:r>
        <w:t>E：核对所拒绝的操作或控制关系、拒绝的实际阻断效果、退出成本、必要供给和承接。例设可负担的迁移费用不自动使退出无效；切断唯一必要供给且无承接不能证明受保护退出。代价须结合该主体实际资源和窗口，不能统一规定金额。</w:t>
      </w:r>
    </w:p>
    <w:p>
      <w:pPr>
        <w:spacing w:line="290" w:lineRule="exact"/>
      </w:pPr>
      <w:r>
        <w:t>R：核对当前可用资源、必要记录、兼容工具、恢复权限、依赖及完成时间；演练或替代验证须覆盖这些实际条件。书面恢复计划、异地备份及独立启动安排可作相关场景的证据，不是所有系统必须具备的统一条件。备份数量不能代替恢复可用性。</w:t>
      </w:r>
    </w:p>
    <w:p>
      <w:pPr>
        <w:spacing w:line="290" w:lineRule="exact"/>
      </w:pPr>
      <w:r>
        <w:t>证据应写明证明了哪一项主张、适用版本和条件、方法与局限。模拟说明假设内的表现，隔离演练支持被测试路径，压力测试只覆盖指定负荷；没有一种方法自动证明全部要求。不能安全测试时记录替代证据，仍不足则保留?。理论上可能、工程上可实现、在本窗口及实际资源和权限下可执行，须分别说明；1需要支持最后一层的证据。</w:t>
      </w:r>
    </w:p>
    <w:p>
      <w:pPr>
        <w:pStyle w:val="Heading1"/>
        <w:spacing w:line="400" w:lineRule="exact"/>
      </w:pPr>
      <w:r>
        <w:t>窗口如何确定</w:t>
      </w:r>
    </w:p>
    <w:p>
      <w:pPr>
        <w:spacing w:line="290" w:lineRule="exact"/>
      </w:pPr>
      <w:r>
        <w:t>A5逐项列出存续风险、必要资源耗尽、权益期限、下一关闭操作或迭代；每项注明事件、时间或区间、证据和涉及路径。只把会实际关闭路径的事件列为限制，不把所有更新当成关闭。分别约束每条路径，不能平均掉较早截止点，也不能用一条路径关闭推定全部关闭。</w:t>
      </w:r>
    </w:p>
    <w:p>
      <w:pPr>
        <w:spacing w:line="290" w:lineRule="exact"/>
      </w:pPr>
      <w:r>
        <w:t>把启动、协调、执行及有依据的余量与剩余窗口比较。估算不确定时保留范围、争议与复核时点；没有统一72小时门槛。HYP-001中14:00来自假设H5，十分钟是该例流程的假设总时长，不是CI-001规定。</w:t>
      </w:r>
    </w:p>
    <w:p>
      <w:pPr>
        <w:pStyle w:val="Heading1"/>
        <w:spacing w:line="400" w:lineRule="exact"/>
      </w:pPr>
      <w:r>
        <w:t>补证升级与机构缺位</w:t>
      </w:r>
    </w:p>
    <w:p>
      <w:pPr>
        <w:spacing w:line="290" w:lineRule="exact"/>
      </w:pPr>
      <w:r>
        <w:t>B2记录请求是否实际提出和送达、响应状态、义务依据及期限来源。期限届满未响应、关键证据矛盾影响判定、或等待可能错失最后有效窗口时，记录维护者依§4.2启动复核并请求独立复核；不响应本身不把?改成0。有证据证明相关可行路径失效时，才按§2.2改变取值。</w:t>
      </w:r>
    </w:p>
    <w:p>
      <w:pPr>
        <w:spacing w:line="290" w:lineRule="exact"/>
      </w:pPr>
      <w:r>
        <w:t>没有独立机构时仍使用自评估：B3注明内部核查，B4逐项写未具备/未完成，B5写初步结论。受影响者可记录、预警并请求保全；实际部署控制方可依既有权限暂停自己的操作。B6/B7列实际承接人、期限、解除条件，不能把请求写成强制命令，也不能借机构缺位拖延有权实施的纠错。全部16字段的完整要求见正文附录A。</w:t>
      </w:r>
    </w:p>
    <w:p>
      <w:pPr>
        <w:pStyle w:val="Heading1"/>
        <w:spacing w:line="420" w:lineRule="exact"/>
      </w:pPr>
      <w:r>
        <w:t>角色与补证记录</w:t>
      </w:r>
    </w:p>
    <w:p>
      <w:pPr>
        <w:spacing w:line="290" w:lineRule="exact"/>
      </w:pPr>
      <w:r>
        <w:t>角色记录：记录编号；人员或系统标识；候选主体资格如适用；与被审查机制和控制关系的位置；承担职能；既有权限；利益关系；代表/转交依据；独立复核状态。</w:t>
      </w:r>
    </w:p>
    <w:p>
      <w:pPr>
        <w:spacing w:line="290" w:lineRule="exact"/>
      </w:pPr>
      <w:r>
        <w:t>补证记录：未知项及对应评估单元；未知原因；证据持有方及依据；请求方、协调方、核验方；响应义务依据或未确认；请求日、请求期限、关键窗口及依据；响应/未响应/未请求/无法联系等状态；已有材料与替代取证；下一复核日期；有权处置方或尚未落实。</w:t>
      </w:r>
    </w:p>
    <w:p>
      <w:pPr>
        <w:spacing w:line="290" w:lineRule="exact"/>
      </w:pPr>
      <w:r>
        <w:t>每份附件写明记录编号、对应表单编号、编制者与日期；没有落实的角色、权限、义务或时点如实注明。填写：________。</w:t>
      </w:r>
    </w:p>
    <w:p>
      <w:pPr>
        <w:pStyle w:val="Heading1"/>
        <w:spacing w:line="420" w:lineRule="exact"/>
      </w:pPr>
      <w:r>
        <w:t>边界反例（假设）</w:t>
      </w:r>
    </w:p>
    <w:p>
      <w:pPr>
        <w:spacing w:line="290" w:lineRule="exact"/>
      </w:pPr>
      <w:r>
        <w:t>C反例：可提交工单，但没有可执行的响应和纠正安排，不能仅凭入口记1。其他相关路径未查明时记?；不是见到一条失败路径就记0。</w:t>
      </w:r>
    </w:p>
    <w:p>
      <w:pPr>
        <w:spacing w:line="290" w:lineRule="exact"/>
      </w:pPr>
      <w:r>
        <w:t>E反例：删除争议服务账户同时切断唯一必要供给，且没有已核实承接；该按钮不能证明受保护的退出。其他拒绝或替代路径仍须查证。</w:t>
      </w:r>
    </w:p>
    <w:p>
      <w:pPr>
        <w:spacing w:line="290" w:lineRule="exact"/>
      </w:pPr>
      <w:r>
        <w:t>R反例：备份文件存在，但唯一恢复权限缺失；不能仅凭备份记R＝1。已核验当前条件不足才记0；取证不足记?。重建权限是否可行另按§2.4判断。</w:t>
      </w:r>
    </w:p>
    <w:p>
      <w:pPr>
        <w:pStyle w:val="Heading1"/>
        <w:spacing w:line="420" w:lineRule="exact"/>
      </w:pPr>
      <w:r>
        <w:t>填写与保存</w:t>
      </w:r>
    </w:p>
    <w:p>
      <w:pPr>
        <w:spacing w:line="290" w:lineRule="exact"/>
      </w:pPr>
      <w:r>
        <w:t>Word中点击16个内容控件填写；PDF使用支持AcroForm保存的阅读器。长回答放附件，表中填摘要和编号；保存后重新打开检查，打印前确认文字未超出单元格。独立复核缺失须明记，措施仍须符合§3.3、§4.1、§4.2。</w:t>
      </w:r>
    </w:p>
    <w:p>
      <w:pPr>
        <w:pStyle w:val="Heading1"/>
        <w:spacing w:line="420" w:lineRule="exact"/>
      </w:pPr>
      <w:r>
        <w:t>版本与复算</w:t>
      </w:r>
    </w:p>
    <w:p>
      <w:pPr>
        <w:spacing w:line="290" w:lineRule="exact"/>
      </w:pPr>
      <w:r>
        <w:t>已发布V1.4基线：https://doi.org/10.5281/zenodo.22657725</w:t>
      </w:r>
    </w:p>
    <w:p>
      <w:pPr>
        <w:spacing w:line="290" w:lineRule="exact"/>
      </w:pPr>
      <w:r>
        <w:t>该DOI不标识本候选。本包SHA256SUMS只覆盖本包文件，不含母本原件，不替代历史清单。Linux：sha256sum -c SHA256SUMS；macOS：shasum -a 256 -c SHA256SUMS。哈希只证明与清单字节一致，不证明引文准确或独立性。</w:t>
      </w:r>
    </w:p>
    <w:p>
      <w:pPr>
        <w:spacing w:line="290" w:lineRule="exact"/>
      </w:pPr>
      <w:r>
        <w:t>© 2026 Zijun Fu (子君赋) · CC BY 4.0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0" w:lineRule="exact"/>
      <w:snapToGrid w:val="0"/>
    </w:pPr>
    <w:rPr>
      <w:rFonts w:ascii="Noto Sans SC" w:hAnsi="Noto Sans SC" w:eastAsia="Noto Sans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400" w:lineRule="exact"/>
      <w:outlineLvl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00" w:lineRule="exact"/>
      <w:outlineLvl w:val="1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00" w:lineRule="exact"/>
      <w:outlineLvl w:val="2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3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4"/>
      <w:snapToGrid w:val="0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5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6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7"/>
      <w:snapToGrid w:val="0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8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400" w:lineRule="exact"/>
      <w:contextualSpacing/>
      <w:snapToGrid w:val="0"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line="260" w:lineRule="exact"/>
    </w:pPr>
    <w:rPr>
      <w:rFonts w:asciiTheme="majorHAnsi" w:eastAsiaTheme="majorEastAsia" w:hAnsiTheme="majorHAnsi" w:cstheme="majorBidi" w:ascii="Noto Sans SC" w:hAnsi="Noto Sans SC" w:eastAsia="Noto Sans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400" w:lineRule="exact"/>
      <w:ind w:left="720"/>
      <w:contextualSpacing/>
      <w:snapToGrid w:val="0"/>
    </w:pPr>
    <w:rPr>
      <w:rFonts w:ascii="Noto Sans SC" w:hAnsi="Noto Sans SC" w:eastAsia="Noto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400" w:lineRule="exact"/>
      <w:ind w:left="360" w:hanging="360"/>
      <w:contextualSpacing/>
      <w:snapToGrid w:val="0"/>
    </w:pPr>
    <w:rPr>
      <w:rFonts w:ascii="Noto Sans SC" w:hAnsi="Noto Sans SC" w:eastAsia="Noto Sans SC"/>
    </w:rPr>
  </w:style>
  <w:style w:type="paragraph" w:styleId="List2">
    <w:name w:val="List 2"/>
    <w:basedOn w:val="Normal"/>
    <w:uiPriority w:val="99"/>
    <w:unhideWhenUsed/>
    <w:rsid w:val="00326F90"/>
    <w:pPr>
      <w:spacing w:line="400" w:lineRule="exact"/>
      <w:ind w:left="720" w:hanging="360"/>
      <w:contextualSpacing/>
      <w:snapToGrid w:val="0"/>
    </w:pPr>
    <w:rPr>
      <w:rFonts w:ascii="Noto Sans SC" w:hAnsi="Noto Sans SC" w:eastAsia="Noto Sans SC"/>
    </w:rPr>
  </w:style>
  <w:style w:type="paragraph" w:styleId="List3">
    <w:name w:val="List 3"/>
    <w:basedOn w:val="Normal"/>
    <w:uiPriority w:val="99"/>
    <w:unhideWhenUsed/>
    <w:rsid w:val="00326F90"/>
    <w:pPr>
      <w:spacing w:line="400" w:lineRule="exact"/>
      <w:ind w:left="1080" w:hanging="360"/>
      <w:contextualSpacing/>
      <w:snapToGrid w:val="0"/>
    </w:pPr>
    <w:rPr>
      <w:rFonts w:ascii="Noto Sans SC" w:hAnsi="Noto Sans SC" w:eastAsia="Noto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400" w:lineRule="exact"/>
      <w:ind w:left="360"/>
      <w:contextualSpacing/>
      <w:snapToGrid w:val="0"/>
    </w:pPr>
    <w:rPr>
      <w:rFonts w:ascii="Noto Sans SC" w:hAnsi="Noto Sans SC" w:eastAsia="Noto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400" w:lineRule="exact"/>
      <w:ind w:left="720"/>
      <w:contextualSpacing/>
      <w:snapToGrid w:val="0"/>
    </w:pPr>
    <w:rPr>
      <w:rFonts w:ascii="Noto Sans SC" w:hAnsi="Noto Sans SC" w:eastAsia="Noto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400" w:lineRule="exact"/>
      <w:ind w:left="1080"/>
      <w:contextualSpacing/>
      <w:snapToGrid w:val="0"/>
    </w:pPr>
    <w:rPr>
      <w:rFonts w:ascii="Noto Sans SC" w:hAnsi="Noto Sans SC" w:eastAsia="Noto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line="400" w:lineRule="exact"/>
    </w:pPr>
    <w:rPr>
      <w:rFonts w:ascii="Noto Sans SC" w:hAnsi="Noto Sans SC" w:eastAsia="Noto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spacing w:line="400" w:lineRule="exact"/>
    </w:pPr>
    <w:rPr>
      <w:rFonts w:ascii="Noto Sans SC" w:hAnsi="Noto Sans SC" w:eastAsia="Noto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00" w:lineRule="exact"/>
      <w:snapToGrid w:val="0"/>
    </w:pPr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400" w:lineRule="exact"/>
      <w:ind w:left="936" w:right="936"/>
      <w:snapToGrid w:val="0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400" w:lineRule="exact"/>
      <w:outlineLvl w:val="9"/>
      <w:snapToGrid w:val="0"/>
    </w:pPr>
    <w:rPr>
      <w:rFonts w:ascii="Noto Sans SC" w:hAnsi="Noto Sans SC" w:eastAsia="Noto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CI-001 V1.5-RC2 · 填写指南与补充记录</dc:title>
  <dc:subject/>
  <dc:creator>Zijun Fu (子君赋); ChatGPT-assisted editing</dc:creator>
  <cp:keywords>CI-001, V1.5-RC1, candidate, hypothetical example</cp:keywords>
  <dc:description>generated by python-docx</dc:description>
  <cp:lastModifiedBy/>
  <cp:revision>1</cp:revision>
  <dcterms:created xsi:type="dcterms:W3CDTF">2013-12-23T23:15:00Z</dcterms:created>
  <dcterms:modified xsi:type="dcterms:W3CDTF">2026-09-09T00:00:00Z</dcterms:modified>
  <cp:category/>
  <cp:version>1.5-RC2</cp:version>
  <dc:language>zh-CN</dc:language>
</cp:coreProperties>
</file>