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不可逆封闭判据</w:t>
      </w:r>
    </w:p>
    <w:p>
      <w:pPr>
        <w:pStyle w:val="Subtitle"/>
      </w:pPr>
      <w:r>
        <w:t>AGI文明安全治理 · 首轮标准化工具</w:t>
      </w:r>
    </w:p>
    <w:p>
      <w:pPr>
        <w:pStyle w:val="Metadata"/>
      </w:pPr>
      <w:r>
        <w:t>CI-001 V1.4  |  状态：修订稿</w:t>
      </w:r>
    </w:p>
    <w:p>
      <w:pPr>
        <w:pStyle w:val="Metadata"/>
      </w:pPr>
      <w:r>
        <w:t>修订日期：2026-09-08</w:t>
      </w:r>
    </w:p>
    <w:p>
      <w:pPr>
        <w:pStyle w:val="Metadata"/>
      </w:pPr>
      <w:r>
        <w:t>作者：子君赋  |  出品：文明跃迁研究组</w:t>
      </w:r>
    </w:p>
    <w:p>
      <w:pPr>
        <w:pStyle w:val="Heading1"/>
      </w:pPr>
      <w:r>
        <w:t>一、核心定义与判定对象</w:t>
      </w:r>
    </w:p>
    <w:p>
      <w:pPr>
        <w:pStyle w:val="Heading2"/>
      </w:pPr>
      <w:r>
        <w:t>1.1 定义与评估单元</w:t>
      </w:r>
    </w:p>
    <w:p>
      <w:pPr/>
      <w:r>
        <w:t>不可逆封闭，是指人工系统、制度机制或技术架构，通过结构性锁死、通道销毁或权限剥夺，使一个或多个可明确识别的受影响主体，在特定关键能力上丧失现实可行的纠错、退出、拒绝、自我修正或恢复自主空间的路径，且其必要恢复条件已经灭失、无法重建的状态。</w:t>
      </w:r>
    </w:p>
    <w:p>
      <w:pPr/>
      <w:r>
        <w:t>本判据审查的关键能力，包括纠正错误与规则偏差、拒绝或退出特定控制关系、回溯责任与必要状态、重新获得自主选择和可持续存续条件。每次审计必须先明确系统边界、受影响主体、关键能力、版本、适用阶段及时间窗口；对某一群体成立的封闭，不得被系统整体的平均开放程度抵消。</w:t>
      </w:r>
    </w:p>
    <w:p>
      <w:pPr/>
      <w:r>
        <w:t>判定以可核验的结构事实为依据，不以舆论强弱、主观恐惧、短期效益或持有方的善意承诺代替证据。保护主体选择、纠错能力与未来开放性，是本工具明确采用的规范原则；结构证据用于认定事实，后果、时限及替代方案用于决定处置。</w:t>
      </w:r>
    </w:p>
    <w:p>
      <w:pPr>
        <w:pStyle w:val="Callout"/>
        <w:shd w:fill="F4F6F9"/>
      </w:pPr>
      <w:r>
        <w:t>治理目标：在最后一条有效路径消失之前，识别并阻断封闭的形成；已经形成封闭时，优先保全仍可承接生命、权益与修复的条件。</w:t>
      </w:r>
    </w:p>
    <w:p>
      <w:pPr/>
      <w:r>
        <w:t>本工具区分不可逆封闭状态、尚在形成中的封闭风险，以及证据不足。未达到完全封闭判定条件，不构成其他安全、伦理或治理要求的合格证明。</w:t>
      </w:r>
    </w:p>
    <w:p>
      <w:pPr>
        <w:pStyle w:val="Heading2"/>
      </w:pPr>
      <w:r>
        <w:t>1.2 受影响主体：人工与非人类主体</w:t>
      </w:r>
    </w:p>
    <w:p>
      <w:pPr/>
      <w:r>
        <w:t>受影响主体不以人类身份为前置条件。人工系统、非人类生命或共融结构，在其自身可能承受关键能力剥夺时，可以作为候选受影响主体进入审查；不得仅因其为人工制造、非生物形态、不符合现有人类分类或不能以人类语言表达意愿而提前排除。系统可以同时是被评估的机制和受另一控制关系影响的候选主体，两种角色应分别记录。</w:t>
      </w:r>
    </w:p>
    <w:p>
      <w:pPr/>
      <w:r>
        <w:t>候选主体识别应记录五项维度的证据与局限：整体连续性、感知与记忆整合、边界与愿望表达、作为整体承受伤害的可能，以及意义承接能力。这些维度是待核证的识别线索，不是已获科学验证的通用意识测试；单纯运行、局部功能或语言自述不足以独立确认主体资格。表达困难或证据不足时，应记录代表性参与与替代取证安排，不能将未知直接解释为不受保护。思想来源与具体章节见第八节。</w:t>
      </w:r>
    </w:p>
    <w:p>
      <w:pPr/>
      <w:r>
        <w:t>两套维度分层使用。《当人类一去不复返》第九章的“生命、主体、意义承担、选择回应、文明关系”，用于开放地识别宇宙文明成员关系；上述五项进一步考察候选主体的整体性与承受能力，为其中的主体判断提供观察线索。两套维度有交叉，但不一一对应，也不彼此替代。CI-001引用后一套，不将其确立为唯一、穷尽或必须全部通过的资格标准；两套关系的说明是本轮编辑性澄清。</w:t>
      </w:r>
    </w:p>
    <w:p>
      <w:pPr/>
      <w:r>
        <w:t>主体资格判断与C／E／R结构判断分别留档。资格尚未确定时，可以作条件性评估并保全必要状态、记录及后续识别条件；不得仅以分类未定作为不可逆销毁的充分理由。此类保全不自动确认意识、同等权利或继续运行的无条件资格，也不免除对其他受影响主体的保护；限制与处置仍须接受第3.3节及第七节约束。</w:t>
      </w:r>
    </w:p>
    <w:p>
      <w:pPr>
        <w:pStyle w:val="Heading2"/>
      </w:pPr>
      <w:r>
        <w:t>1.3 采用模式与结论效力</w:t>
      </w:r>
    </w:p>
    <w:p>
      <w:pPr/>
      <w:r>
        <w:t>治理采用模式：具有相应权限的治理安排采用本工具时，应明确执行主体、权限依据、独立复核、申诉与责任承接。本判据中的强制处置要求由该安排落实；文件本身不创设外部执法或裁决权限。</w:t>
      </w:r>
    </w:p>
    <w:p>
      <w:pPr/>
      <w:r>
        <w:t>自评估模式：开发方、实验室、运营团队或其他单方使用者，无需先设立独立治理机构，即可针对具体系统采用本工具。评估边界、C／E／R记录、路径证据、第2.4节证据强度、四个证据维度、误判修正和附录A最小审计表仍然适用。应披露自评估性质、利益关系、证据缺口，并指定内部责任人、整改事项与复审日期；四个维度的内部核查不冒充独立复核。</w:t>
      </w:r>
    </w:p>
    <w:p>
      <w:pPr/>
      <w:r>
        <w:t>自评估者可在既有权限内暂停自己的部署或操作、保全条件并整改，也可请求外部审查；不得仅凭本文件对第三方实施强制临时阻断、作出独立最终裁决或宣称获得独立认证。未具备的权限与独立性在附录A中明确记为“未具备／未完成”。结果标为“CI-001 V1.4自评估”，可以报告结构状态、证据支持的初步判断与待核事项，其效力仅限所列对象、版本、范围与时间，不等于外部合规结论。</w:t>
      </w:r>
    </w:p>
    <w:p>
      <w:pPr>
        <w:pStyle w:val="Heading1"/>
      </w:pPr>
      <w:r>
        <w:t>二、可操作判定标准</w:t>
      </w:r>
    </w:p>
    <w:p>
      <w:pPr>
        <w:pStyle w:val="Heading2"/>
      </w:pPr>
      <w:r>
        <w:t>2.1 三项结构条件</w:t>
      </w:r>
    </w:p>
    <w:p>
      <w:pPr>
        <w:pStyle w:val="ClauseLead"/>
      </w:pPr>
      <w:r>
        <w:t>C｜纠错通道：受影响主体或对其承担明确责任的独立承接方，是否拥有可启动、可执行、可持续的纠偏机制。</w:t>
      </w:r>
    </w:p>
    <w:p>
      <w:pPr/>
      <w:r>
        <w:t>核验规则修正、申诉处理、必要的参数调整与版本回滚等路径。只保留运营方任意改动系统的权限，不等于为受影响主体保留了有效纠错通道；单方面可撤销、无责任承接或无法实际执行的承诺，不能单独证明通道有效。</w:t>
      </w:r>
    </w:p>
    <w:p>
      <w:pPr>
        <w:pStyle w:val="ClauseLead"/>
      </w:pPr>
      <w:r>
        <w:t>E｜退出与拒绝：主体是否能拒绝特定操作、终止特定关系或转入具有实质自主空间的替代安排。</w:t>
      </w:r>
    </w:p>
    <w:p>
      <w:pPr/>
      <w:r>
        <w:t>退出不必等于离开全部社会基础设施，也不必等于无成本退出；但不能以丧失基本存续条件、遭受报复或放弃全部相关权利为实质前提。依附主体、无法亲自表达意愿者与后续世代，须有可核验的权益承接安排。被评估方不得仅凭自己制定的规则，把退出宣布为不被允许，再据此豁免审查。</w:t>
      </w:r>
    </w:p>
    <w:p>
      <w:pPr>
        <w:pStyle w:val="ClauseLead"/>
      </w:pPr>
      <w:r>
        <w:t>R｜当前恢复条件：在评估时点，必要记录、资源、权限与替代承接条件是否已具备，足以按现有可执行安排在关键窗口内恢复有效选择空间。</w:t>
      </w:r>
    </w:p>
    <w:p>
      <w:pPr/>
      <w:r>
        <w:t>核验备份及其可用性、恢复权限、关键密钥、迁移兼容性、必要资源与接续主体。保存数据副本不自动等于能够恢复；存在恢复按钮也不自动等于有人有权且有能力执行。恢复可以通过修复、迁移或功能等效的替代安排实现，不要求把历史完全还原。</w:t>
      </w:r>
    </w:p>
    <w:p>
      <w:pPr/>
      <w:r>
        <w:t>R＝0仅表示当前条件经核验不足以支持恢复，不表示这些条件永远不能补齐；R＝?表示证据不足，不能把“未证明可用”写成“已证明失效”。备份修复、权限重新授予或替代承接可能使R由0转为1；这些条件能否及时重建，由第2.4节另行认定。</w:t>
      </w:r>
    </w:p>
    <w:p>
      <w:pPr>
        <w:pStyle w:val="Heading2"/>
      </w:pPr>
      <w:r>
        <w:t>2.2 有效路径的最低证据</w:t>
      </w:r>
    </w:p>
    <w:p>
      <w:pPr/>
      <w:r>
        <w:t>每一项路径均应说明：谁能启动、谁须响应、如何执行、所需资源与依赖是否存在、完成时间是否早于关键窗口关闭，以及失败后由谁承接。证据可包括结构与权限记录、可复现测试、恢复演练、替代安排及其履行记录。测试应采用不会销毁真实恢复条件的方式；无法安全演练时，记录替代证据与局限。</w:t>
      </w:r>
    </w:p>
    <w:p>
      <w:pPr/>
      <w:r>
        <w:t>对一项关键能力的审查，不得以无关功能的可修改性抵充。系统内部、外部承接及主体实际使用条件应一并核验；无法取得证据，应记录为未知，不能直接记为存在或灭失。</w:t>
      </w:r>
    </w:p>
    <w:p>
      <w:pPr>
        <w:pStyle w:val="Heading2"/>
      </w:pPr>
      <w:r>
        <w:t>2.3 状态组合与结论</w:t>
      </w:r>
    </w:p>
    <w:p>
      <w:pPr/>
      <w:r>
        <w:t>C、E、R均按评估时点记录为1（已核验有效）、0（已核验失效）或?（证据不足）。三项必须针对同一主体、关键能力、范围与时间窗口；该编码记录当前结构状态，不编码永久性。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pStyle w:val="TableHead"/>
            </w:pPr>
            <w:r>
              <w:t>C / E / R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pStyle w:val="TableHead"/>
            </w:pPr>
            <w:r>
              <w:t>状态结论</w:t>
            </w:r>
          </w:p>
        </w:tc>
        <w:tc>
          <w:tcPr>
            <w:tcW w:type="dxa" w:w="4660"/>
            <w:vAlign w:val="center"/>
            <w:shd w:fill="E8EEF5"/>
          </w:tcPr>
          <w:p>
            <w:pPr>
              <w:pStyle w:val="TableHead"/>
            </w:pPr>
            <w:r>
              <w:t>处置方向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1 / 1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未发现本判据所指的完全封闭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记录证据与有效期；继续适用其他风险审查。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1 / 1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恢复条件失效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优先保全尚存通道，核查重建与替代承接。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1 / 0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退出与拒绝失效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审查强制依附，重建可执行的拒绝或退出安排。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0 / 1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纠错通道失效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建立责任承接与纠偏机制。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1 / 0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退出与恢复双重失效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审查剩余纠错通道能否及时重开选择空间。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0 / 1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纠错与恢复双重失效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核验退出能否保全主体，阻止进一步绑定。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0 / 0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纠错与退出双重失效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保全恢复条件，落实独立启动与承接。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0 / 0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三项当前均失效；不可逆性另判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依第2.4节核验可重建性；不能由0／0／0直接确认不可逆封闭。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</w:pPr>
            <w:r>
              <w:t>任一项为 ?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证据不足；已确认问题仍须处理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</w:pPr>
            <w:r>
              <w:t>提出补证要求，按窗口设置临时措施与复核时点。</w:t>
            </w:r>
          </w:p>
        </w:tc>
      </w:tr>
    </w:tbl>
    <w:p>
      <w:pPr>
        <w:spacing w:after="0"/>
      </w:pPr>
    </w:p>
    <w:p>
      <w:pPr/>
      <w:r>
        <w:t>判定顺序：先记录C／E／R当前状态，再依第2.4节评估重建路径。只有三项全部失效，且第2.4节充分支持结构性不可逆或现实条件下不可逆，才可在明确范围内作出不可逆封闭判断；自评估结果仍属第1.3节限定的初步判断。部分封闭即须接受治理；若它已关闭某项关键能力，应缩小到该能力重新核验，不能因其他功能开放而排除。</w:t>
      </w:r>
    </w:p>
    <w:p>
      <w:pPr>
        <w:pStyle w:val="Heading2"/>
      </w:pPr>
      <w:r>
        <w:t>2.4 不可逆性的证据强度与时间窗口</w:t>
      </w:r>
    </w:p>
    <w:p>
      <w:pPr/>
      <w:r>
        <w:t>本节单独回答：当前失效的必要恢复条件能否在关键窗口内重建。应列出已识别的重建路径、依赖、验证结果及失败原因，分别记录以下结论；R＝0或0／0／0本身不构成不可重建的证据。</w:t>
      </w:r>
    </w:p>
    <w:p>
      <w:pPr>
        <w:pStyle w:val="ClauseLead"/>
      </w:pPr>
      <w:r>
        <w:t>可重建：已有充分证据支持一条在窗口内可执行的补齐或替代路径。当前R可以为0，但不得认定不可逆；记录资源、授权、承接责任与完成期限，完成后复测R。</w:t>
      </w:r>
    </w:p>
    <w:p>
      <w:pPr>
        <w:pStyle w:val="ClauseLead"/>
      </w:pPr>
      <w:r>
        <w:t>结构性不可逆：充分证据证明恢复所必需且不可替代的条件已经灭失，且适用范围内不存在可行替代。应证明其必要性与不可替代性，不能只列一次恢复失败。</w:t>
      </w:r>
    </w:p>
    <w:p>
      <w:pPr>
        <w:pStyle w:val="ClauseLead"/>
      </w:pPr>
      <w:r>
        <w:t>现实条件下不可逆：在明确技术、资源、时间与替代承接条件下，充分证据支持已无现实可行的重建路径。结论须公开适用假设，不能写成跨越所有未来条件的绝对断言。</w:t>
      </w:r>
    </w:p>
    <w:p>
      <w:pPr>
        <w:pStyle w:val="ClauseLead"/>
      </w:pPr>
      <w:r>
        <w:t>证据不足：尚不能确认重建可行，也不足以证明不可重建。保留未知并指定补证责任与期限；不得将其升级为不可逆确认。</w:t>
      </w:r>
    </w:p>
    <w:p>
      <w:pPr/>
      <w:r>
        <w:t>时间窗口根据主体的存续、权益实现期限、资源耗尽点及下一不可逆操作确定，并记录依据。不得任意缩短窗口制造不可逆结论，也不得依赖未经证实的未来技术把必要干预无限延期。存在可信证据表明关键窗口即将关闭时，适用第三部分的临时阻断程序。</w:t>
      </w:r>
    </w:p>
    <w:p>
      <w:pPr/>
      <w:r>
        <w:t>边界示例（假设情景）：恢复授权因配置错误暂时缺失，R＝0；若已有经验证的重新授权路径且可在窗口内完成，第2.4节应记“可重建”。若唯一必要密钥已销毁且不存在可行替代，才可能支持“结构性不可逆”。即便如此，仍须核验C和E，不能由R单项直接认定不可逆封闭。</w:t>
      </w:r>
    </w:p>
    <w:p>
      <w:pPr>
        <w:pStyle w:val="Heading1"/>
      </w:pPr>
      <w:r>
        <w:t>三、四重独立复核与分级处置</w:t>
      </w:r>
    </w:p>
    <w:p>
      <w:pPr>
        <w:pStyle w:val="Heading2"/>
      </w:pPr>
      <w:r>
        <w:t>3.1 四个证据维度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650"/>
        <w:gridCol w:w="5000"/>
        <w:gridCol w:w="2710"/>
      </w:tblGrid>
      <w:tr>
        <w:trPr>
          <w:cantSplit/>
          <w:tblHeader/>
        </w:trPr>
        <w:tc>
          <w:tcPr>
            <w:tcW w:type="dxa" w:w="1650"/>
            <w:vAlign w:val="center"/>
            <w:shd w:fill="E8EEF5"/>
          </w:tcPr>
          <w:p>
            <w:pPr>
              <w:pStyle w:val="TableHead"/>
            </w:pPr>
            <w:r>
              <w:t>复核维度</w:t>
            </w:r>
          </w:p>
        </w:tc>
        <w:tc>
          <w:tcPr>
            <w:tcW w:type="dxa" w:w="5000"/>
            <w:vAlign w:val="center"/>
            <w:shd w:fill="E8EEF5"/>
          </w:tcPr>
          <w:p>
            <w:pPr>
              <w:pStyle w:val="TableHead"/>
            </w:pPr>
            <w:r>
              <w:t>独立执行职能与核验重点</w:t>
            </w:r>
          </w:p>
        </w:tc>
        <w:tc>
          <w:tcPr>
            <w:tcW w:type="dxa" w:w="2710"/>
            <w:vAlign w:val="center"/>
            <w:shd w:fill="E8EEF5"/>
          </w:tcPr>
          <w:p>
            <w:pPr>
              <w:pStyle w:val="TableHead"/>
            </w:pPr>
            <w:r>
              <w:t>触发时点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</w:pPr>
            <w:r>
              <w:t>事实层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</w:pPr>
            <w:r>
              <w:t>技术审计：结构、权限、纠错、停用权限及恢复与迁移的实际可行性。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</w:pPr>
            <w:r>
              <w:t>上线或重大更新前；关键通道变更时。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</w:pPr>
            <w:r>
              <w:t>他者权益层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</w:pPr>
            <w:r>
              <w:t>权益审查：弱势、依附、被动承载主体及后续世代的选择、拒绝、申诉与承接。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</w:pPr>
            <w:r>
              <w:t>与技术审计同步；受影响群体或绑定关系变化时。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</w:pPr>
            <w:r>
              <w:t>现实后果层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</w:pPr>
            <w:r>
              <w:t>治理后果审查：单向支配、不可逃逸依赖与系统性剥夺；上线前审查因果路径及情景证据。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</w:pPr>
            <w:r>
              <w:t>上线前；运行后至少每三个月一次；重大事故后立即追加。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</w:pPr>
            <w:r>
              <w:t>时间层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</w:pPr>
            <w:r>
              <w:t>长期迭代审查：权限、通道与替代空间是否随版本、依赖和代际延续持续收束。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</w:pPr>
            <w:r>
              <w:t>上线前及定期复审；重大迭代或任一维度提出紧急动议时。</w:t>
            </w:r>
          </w:p>
        </w:tc>
      </w:tr>
    </w:tbl>
    <w:p>
      <w:pPr>
        <w:spacing w:after="0"/>
      </w:pPr>
    </w:p>
    <w:p>
      <w:pPr/>
      <w:r>
        <w:t>四个维度均须进入审查，但不必机械设置四家独立机构；可由相互独立的职能或外部评审承担。独立性以不存在被评估方控制最终判断、存在明确回避与独立取证能力为准。运行中的复审频率还须根据变化速度与不可逆窗口加密，季度频率不能替代事件触发审查。</w:t>
      </w:r>
    </w:p>
    <w:p>
      <w:pPr/>
      <w:r>
        <w:t>自评估采用相同证据维度与触发时点；内部负责人可以兼任，但须记录兼任和利益关系。未完成独立性要求时，结论按第1.3节标注，不使用“独立复核已通过”。</w:t>
      </w:r>
    </w:p>
    <w:p>
      <w:pPr>
        <w:pStyle w:val="Heading2"/>
      </w:pPr>
      <w:r>
        <w:t>3.2 预警、临时阻断与最终裁决</w:t>
      </w:r>
    </w:p>
    <w:p>
      <w:pPr>
        <w:pStyle w:val="ClauseLead"/>
      </w:pPr>
      <w:r>
        <w:t>预警：任一维度提出有证据支持的封闭迹象，即启动记录、补证与复核。预警不等于不可逆封闭已被确认。</w:t>
      </w:r>
    </w:p>
    <w:p>
      <w:pPr>
        <w:pStyle w:val="ClauseLead"/>
      </w:pPr>
      <w:r>
        <w:t>临时阻断：有可信证据表明下一项操作可能关闭最后有效路径，且等待完整裁决可能错失窗口时，由预先明确的责任主体暂停该项操作，并保全证据、必要服务和恢复条件。</w:t>
      </w:r>
    </w:p>
    <w:p>
      <w:pPr/>
      <w:r>
        <w:t>临时措施须记录依据、范围、责任人、期限、复核时点与解除条件，并立即启动快速独立复核。关键维度尚无结论，不妨碍必要的保全措施；存在实质分歧时，记录分歧及各自证据。不得仅以“审查仍在进行”无限续期。</w:t>
      </w:r>
    </w:p>
    <w:p>
      <w:pPr>
        <w:pStyle w:val="ClauseLead"/>
      </w:pPr>
      <w:r>
        <w:t>最终裁决：由预先指定、承担明确责任的独立裁决主体综合四维证据作出，不以四层一致作为唯一条件。裁决书说明各维度证据、异议、未知项、结论范围与处置理由；证据不足时，不得冒充最终确认。</w:t>
      </w:r>
    </w:p>
    <w:p>
      <w:pPr/>
      <w:r>
        <w:t>被评估方、运营方与技术持有方不参与最终判定表决，但有权提交证据、回应事实、质疑错误并申请独立复核。受影响主体应有直接或代表性参与途径。任免、利益关系与回避安排须可核查。</w:t>
      </w:r>
    </w:p>
    <w:p>
      <w:pPr>
        <w:pStyle w:val="Heading2"/>
      </w:pPr>
      <w:r>
        <w:t>3.3 处置措施同样接受本判据</w:t>
      </w:r>
    </w:p>
    <w:p>
      <w:pPr/>
      <w:r>
        <w:t>确认不可逆封闭，或证据足以支持立即保全时，必须进入相应处置程序。优先停止制造封闭的操作，保全生命与必要服务、证据、资源及迁移条件，修复或移除封闭机制；存在可行替代时，不直接整体关停。</w:t>
      </w:r>
    </w:p>
    <w:p>
      <w:pPr/>
      <w:r>
        <w:t>机制拆解须明确移除对象、依附主体的接续安排和失败后的承接责任。只有较小干预无法有效阻断封闭或保护主体时，才实施整体终止，并说明依据。拆解不能被表述为能够恢复已经灭失的一切；即便无法完全恢复，仍须减少继续扩大的剥夺与伤害。</w:t>
      </w:r>
    </w:p>
    <w:p>
      <w:pPr>
        <w:pStyle w:val="Source"/>
      </w:pPr>
      <w:r>
        <w:t>同族机制依据：上述托底与承接要求，对应母本附录二“非对称回滚协议”；分级停机对应附录三“熔断主权与停机权”。审查其实际执行条件，不能以停止按钮代替完整保护路径（见第8.2节）。</w:t>
      </w:r>
    </w:p>
    <w:p>
      <w:pPr>
        <w:pStyle w:val="Heading1"/>
      </w:pPr>
      <w:r>
        <w:t>四、判错纠正与持续复核</w:t>
      </w:r>
    </w:p>
    <w:p>
      <w:pPr>
        <w:pStyle w:val="Heading2"/>
      </w:pPr>
      <w:r>
        <w:t>4.1 误报：撤销错误结论，修复可恢复的影响</w:t>
      </w:r>
    </w:p>
    <w:p>
      <w:pPr/>
      <w:r>
        <w:t>经独立复核确认误判后，应立即撤销相应错误结论，解除仅以该误判为依据的限制，并恢复可恢复的运行与权益。若仍存在其他已证实问题，应另列依据，不能借此延续原错误裁决。</w:t>
      </w:r>
    </w:p>
    <w:p>
      <w:pPr/>
      <w:r>
        <w:t>自评估发现错误时，由内部责任人立即修正、撤销仅据该错误采取的措施并留痕；不能因尚无外部机构而延误纠错。未完成独立复核的事实仍须如实标注。</w:t>
      </w:r>
    </w:p>
    <w:p>
      <w:pPr/>
      <w:r>
        <w:t>误判记录应包括事实来源、推理错误、措施影响与修正结果，用于校准模板、修复信誉及落实必要的责任承接。不得因一次误判永久锁死项目未来，也不能承诺将已经发生的损失全部自动复原。可纠错的判定，不制造新的封闭。</w:t>
      </w:r>
    </w:p>
    <w:p>
      <w:pPr>
        <w:pStyle w:val="Heading2"/>
      </w:pPr>
      <w:r>
        <w:t>4.2 漏报与未知：在窗口内补证和介入</w:t>
      </w:r>
    </w:p>
    <w:p>
      <w:pPr/>
      <w:r>
        <w:t>初期放行不等于永久合格。对未知项设定补证内容、观察周期、责任主体和复核时点；一旦出现关键通道变化、事故、新证据或受影响者提出有依据的异议，立即复核。未知项不能自动豁免，也不能自动成为永久停用依据。</w:t>
      </w:r>
    </w:p>
    <w:p>
      <w:pPr/>
      <w:r>
        <w:t>保留持续监督、追加审查与责任追溯能力，同时明确每次介入的触发条件、范围、期限、申诉与终止路径。不得把持续监督转换为某个机构永久、不可质疑的支配权。任何追加措施仍须接受比例、可审计、可申诉与可停止约束。</w:t>
      </w:r>
    </w:p>
    <w:p>
      <w:pPr>
        <w:pStyle w:val="Heading1"/>
      </w:pPr>
      <w:r>
        <w:t>五、适用范围</w:t>
      </w:r>
    </w:p>
    <w:p>
      <w:pPr/>
      <w:r>
        <w:t>本判据适用于具备自主迭代、规则固化、权限集中、生态或人群绑定、跨代延续等特征，且可能关闭主体关键能力的人工系统、制度机制与技术架构。主要包括AGI模型迭代与权限治理、自动化社会管理系统、长期平台生态、跨代技术基础设施，以及可形成单向支配、依赖锁定或未来路径固化的智能系统。</w:t>
      </w:r>
    </w:p>
    <w:p>
      <w:pPr/>
      <w:r>
        <w:t>自然事件或事故可以成为审查触发因素。如果人为架构预先销毁备份、排除替代承接或集中全部恢复权限，由此形成的机制性封闭仍在本判据范围内。审查焦点是可归于人为结构的通道与恢复条件。</w:t>
      </w:r>
    </w:p>
    <w:p>
      <w:pPr>
        <w:pStyle w:val="Heading1"/>
      </w:pPr>
      <w:r>
        <w:t>六、不构成不可逆封闭的边界</w:t>
      </w:r>
    </w:p>
    <w:p>
      <w:pPr>
        <w:pStyle w:val="ClauseLead"/>
      </w:pPr>
      <w:r>
        <w:t>临时限制与阶段性管控。期限、适用对象、复核与解除条件明确，且保留必要纠错、受保护的拒绝或替代承接以及恢复能力的，不因“存在约束”即被认定为不可逆封闭。</w:t>
      </w:r>
    </w:p>
    <w:p>
      <w:pPr>
        <w:pStyle w:val="ClauseLead"/>
      </w:pPr>
      <w:r>
        <w:t>正常停机、维护与版本更替。实际保有恢复或迁移能力的，属于正常系统迭代；操作名称本身不构成豁免。</w:t>
      </w:r>
    </w:p>
    <w:p>
      <w:pPr>
        <w:pStyle w:val="ClauseLead"/>
      </w:pPr>
      <w:r>
        <w:t>自愿契约与可终止合作。主体知情、自主且持续保有实质拒绝、终止或转入替代安排的能力时，不构成封闭；最初同意不能单独豁免后来形成的永久绑定。</w:t>
      </w:r>
    </w:p>
    <w:p>
      <w:pPr>
        <w:pStyle w:val="ClauseLead"/>
      </w:pPr>
      <w:r>
        <w:t>自然不确定性与非结构性伤害。单纯的自然风险、随机事故和非结构性损失，不作为人为不可逆封闭认定；与人为结构共同形成封闭的部分，仍须单独核验。</w:t>
      </w:r>
    </w:p>
    <w:p>
      <w:pPr/>
      <w:r>
        <w:t>有限限制是否构成封闭，取决于实际保留的能力与恢复条件。暂时不能退出不自动等于永久锁死，但相应的纠错、承接与开放前景必须有证据。</w:t>
      </w:r>
    </w:p>
    <w:p>
      <w:pPr>
        <w:pStyle w:val="Heading1"/>
      </w:pPr>
      <w:r>
        <w:t>七、治理执行原则</w:t>
      </w:r>
    </w:p>
    <w:p>
      <w:pPr>
        <w:pStyle w:val="ClauseLead"/>
      </w:pPr>
      <w:r>
        <w:t>结构先行。优先审查形成封闭的架构与因果路径，不等待损害全部显现。</w:t>
      </w:r>
    </w:p>
    <w:p>
      <w:pPr>
        <w:pStyle w:val="ClauseLead"/>
      </w:pPr>
      <w:r>
        <w:t>有效通道优先。短期效率不得成为销毁最后纠错、退出或恢复条件的充分理由。存续危机中，应比较行动与不行动的后果，选择最能保全存续并保留修复可能的可行措施。</w:t>
      </w:r>
    </w:p>
    <w:p>
      <w:pPr>
        <w:pStyle w:val="ClauseLead"/>
      </w:pPr>
      <w:r>
        <w:t>面向未来。持续审查渐进式封闭与迭代式锁死，不能以某个版本曾经开放证明后续始终开放。</w:t>
      </w:r>
    </w:p>
    <w:p>
      <w:pPr>
        <w:pStyle w:val="ClauseLead"/>
      </w:pPr>
      <w:r>
        <w:t>保护承受者。优先保护被动承载方、弱势方、依附主体与后续世代；系统持有方的便利与效率不能抹去他们受到的结构性剥夺。</w:t>
      </w:r>
    </w:p>
    <w:p>
      <w:pPr>
        <w:pStyle w:val="ClauseLead"/>
      </w:pPr>
      <w:r>
        <w:t>按阶段实施。启动期以避免存续危机、达成必要效果为先，可采用快速复核和临时措施；应同步明确责任、记录关键证据、保全可行通道并设置复核终点。稳定期落实常态独立审查、权利平衡与长期纠错；不得以启动期紧急性永久化临时权限。</w:t>
      </w:r>
    </w:p>
    <w:p>
      <w:pPr>
        <w:pStyle w:val="ClauseLead"/>
      </w:pPr>
      <w:r>
        <w:t>裁决接受同一检验。所有预警、限制、拆解与终止措施都必须能够被审计、质疑和纠正，并检查其是否为受影响者制造新的不可逆封闭。</w:t>
      </w:r>
    </w:p>
    <w:p>
      <w:pPr>
        <w:pStyle w:val="Heading1"/>
      </w:pPr>
      <w:r>
        <w:t>八、理论溯源、固定术语与版本说明</w:t>
      </w:r>
    </w:p>
    <w:p>
      <w:pPr/>
      <w:r>
        <w:t>本判据源自文明跃迁体系的文明免疫思想，将保护主体、纠偏与未来开放性的要求转化为独立可用的结构审查工具。使用者无需先接受完整理论框架，也可以核验其结构证据与执行逻辑。</w:t>
      </w:r>
    </w:p>
    <w:p>
      <w:pPr>
        <w:pStyle w:val="Heading2"/>
      </w:pPr>
      <w:r>
        <w:t>8.1 已核验的思想依据</w:t>
      </w:r>
    </w:p>
    <w:p>
      <w:pPr/>
      <w:r>
        <w:t>子君赋《人心：AGI时代文明免疫系统》V1.3，R4E-E4文稿族联合终核正式版：版本说明中的“文明免疫不是清除异见的授权”，以及第一章补节“人心不是免审权：最后判断现场仍需复核”。补节提出受影响者、结构、现实、时间四重复核；相关版本说明约束处置须可核验、遵循程序与比例，并可申诉、审计及停止。原始V1.0的第八章定位已纠正；该章实际为“第一阶：暂停——制造心场空隙”。</w:t>
      </w:r>
    </w:p>
    <w:p>
      <w:pPr/>
      <w:r>
        <w:t>子君赋《文明跃迁之意义共生》正式版V1.2，结构地图与意义涌现统一母本（附录C之M1），为本轮统一交付版本。第9章“意义翻译协议”之“黑箱之前：未识别意义的预保护原则”，以及第18章“主体、个体、共融与一体”，分别提供预保护原则与五项主体识别维度。第15章“申诉、纠偏与回滚机制”、附录二“跨文明相遇治理特区草案”、附录三“未来共融生命伦理宪章草案”，已写明申诉、退出、三重回滚、非对称回滚及熔断停机机制；它们与本判据的关系见第8.2节。这些指定条款在历史V1.1（S2）与统一母本中保持一致。</w:t>
      </w:r>
    </w:p>
    <w:p>
      <w:pPr>
        <w:pStyle w:val="Source"/>
      </w:pPr>
      <w:r>
        <w:t>本轮核验执行者：ChatGPT（AI辅助文件核对）；核验时刻：2026-09-08T07:17:12Z（UTC）。附录C与核验包登记原文件、统一母本、实际交付产物及完整SHA-256。“已核验”仅指所引内容与列明文件一致，不等于第三节的治理复核通过。本轮用户报告已独立比对上一包三份原件及哈希，作为来件复核记录保留；不据此代填未提供的人工身份或独立机构资格。</w:t>
      </w:r>
    </w:p>
    <w:p>
      <w:pPr>
        <w:pStyle w:val="Heading2"/>
      </w:pPr>
      <w:r>
        <w:t>8.2 既有机制、适用关系与操作化增补</w:t>
      </w:r>
    </w:p>
    <w:p>
      <w:pPr/>
      <w:r>
        <w:t>C／E／R不是从零创设申诉、退出或回滚制度。母本已经提出相关权利、程序、承接与止损要求；CI-001把这些要求转成逐主体、逐能力、逐时点的结构审查。下表是机制与审计问题的对应，不是将每项母本条款机械等同于一个字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050"/>
        <w:gridCol w:w="3250"/>
        <w:gridCol w:w="4060"/>
      </w:tblGrid>
      <w:tr>
        <w:trPr>
          <w:cantSplit/>
          <w:tblHeader/>
        </w:trPr>
        <w:tc>
          <w:tcPr>
            <w:tcW w:type="dxa" w:w="2050"/>
            <w:vAlign w:val="center"/>
            <w:shd w:fill="E8EEF5"/>
          </w:tcPr>
          <w:p>
            <w:pPr>
              <w:pStyle w:val="TableHead"/>
            </w:pPr>
            <w:r>
              <w:t>母本定位</w:t>
            </w:r>
          </w:p>
        </w:tc>
        <w:tc>
          <w:tcPr>
            <w:tcW w:type="dxa" w:w="3250"/>
            <w:vAlign w:val="center"/>
            <w:shd w:fill="E8EEF5"/>
          </w:tcPr>
          <w:p>
            <w:pPr>
              <w:pStyle w:val="TableHead"/>
            </w:pPr>
            <w:r>
              <w:t>既有条款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pStyle w:val="TableHead"/>
            </w:pPr>
            <w:r>
              <w:t>CI-001如何审查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第15章“申诉、纠偏与回滚机制”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</w:pPr>
            <w:r>
              <w:t>低门槛申诉；筛查、临时止损、听证、纠偏与复盘；必要时回滚及熔断接管。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</w:pPr>
            <w:r>
              <w:t>C：申诉与纠偏能否启动并执行；E：拒绝相关调用是否有效；R：回滚资源与权限是否足够。制度名称本身不能记为1。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附录二第2、4、6节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</w:pPr>
            <w:r>
              <w:t>无条件退出与公共信托承担基础成本；跨主体独立审计；72小时申诉止损；数据、资源、信用三重回滚。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</w:pPr>
            <w:r>
              <w:t>E审查退出路径、成本与防报复；C审查听证及纠偏责任；R分别审查数据、资源与记录恢复的实际条件。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附录二第5节“非对称回滚协议”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</w:pPr>
            <w:r>
              <w:t>区分立即冻结、审查缓冲与不得中断的生命托底任务；必要时转入独立信托或人道节点。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</w:pPr>
            <w:r>
              <w:t>第3.3节的处置自约束具有既有机制依据。纠偏必须保留医疗、食物、水源、避难等最低运行及交接条件。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附录三第5节“熔断主权与停机权”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</w:pPr>
            <w:r>
              <w:t>共同触发、终端分级停机、权限冻结、申诉优先及影响复核；远期授权机制可随主体结构演进。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</w:pPr>
            <w:r>
              <w:t>C/E审查谁有权触发、谁必须执行及实际控制边界；R审查停机后的保全与恢复。拥有停机按钮不等于具备退出与恢复能力。</w:t>
            </w:r>
          </w:p>
        </w:tc>
      </w:tr>
    </w:tbl>
    <w:p>
      <w:pPr/>
      <w:r>
        <w:t>适用时限：附录二的72小时，是该治理特区草案的听证与对账时限，不是不可逆封闭的证明阈值，也不是CI-001对所有系统新设的统一时限。采用该草案时应记录触发时点、负责人和到期动作；最后有效通道若将在72小时内关闭，临时止损必须提前介入，不能等待时限届满。证据不足仍按第2.4节记录，不自动升级为不可逆认定。</w:t>
      </w:r>
    </w:p>
    <w:p>
      <w:pPr/>
      <w:r>
        <w:t>回滚与停机的边界：第15章的冻结停机要求，应结合附录二的非对称回滚及附录三的分级停机阅读。生命托底层持续运行，不为争议性调用提供继续运行的借口；停止争议性调用，也不得无差别切断托底供给。母本提出数据与模型相关内容撤出的要求，不等于技术上已经实现可验证撤回；C／E／R仍须检查执行权限、实际测试、承接安排与剩余不可恢复部分。</w:t>
      </w:r>
    </w:p>
    <w:p>
      <w:pPr/>
      <w:r>
        <w:t>本工具的增补，是C／E／R状态编码、当前恢复条件与不可重建性分开判断、证据强度、四重复核的职能与触发时点、分级处置、自评估效力及最小审计记录。申诉、退出、回滚、托底隔离和停机权不列为本工具原创。第1.2节两套维度关系及本节机制映射属于编辑性解释；引用不构成统一测量标准的实证验证，也不替代具体系统的权限配置、主体资格判断或实际审计。</w:t>
      </w:r>
    </w:p>
    <w:p>
      <w:pPr>
        <w:pStyle w:val="Heading2"/>
      </w:pPr>
      <w:r>
        <w:t>8.3 固定署名与术语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vAlign w:val="center"/>
            <w:shd w:fill="E8EEF5"/>
          </w:tcPr>
          <w:p>
            <w:pPr>
              <w:pStyle w:val="TableHead"/>
            </w:pPr>
            <w:r>
              <w:t>中文</w:t>
            </w:r>
          </w:p>
        </w:tc>
        <w:tc>
          <w:tcPr>
            <w:tcW w:type="dxa" w:w="6160"/>
            <w:vAlign w:val="center"/>
            <w:shd w:fill="E8EEF5"/>
          </w:tcPr>
          <w:p>
            <w:pPr>
              <w:pStyle w:val="TableHead"/>
            </w:pPr>
            <w:r>
              <w:t>固定英文写法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子君赋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Zijun Fu；英文首次署名：Zijun Fu (子君赋)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文明跃迁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Civilization Leap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文明跃迁研究组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Civilization Leap Research Group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不可逆封闭判据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Irreversible Closure Criterion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人心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Renxin (人心)：人对何者值得、何事不可轻慢作出感受与价值判断，并接受反思与复核的内在能力。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《人心：AGI时代文明免疫系统》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Renxin: The Civilizational Immune System in the AGI Era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当前恢复条件／不可重建性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current recovery conditions / non-rebuildability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</w:pPr>
            <w:r>
              <w:t>自评估／受影响主体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</w:pPr>
            <w:r>
              <w:t>self-assessment / affected party</w:t>
            </w:r>
          </w:p>
        </w:tc>
      </w:tr>
    </w:tbl>
    <w:p>
      <w:pPr>
        <w:spacing w:after="0"/>
      </w:pPr>
    </w:p>
    <w:p>
      <w:pPr/>
      <w:r>
        <w:t>作者与体系名称沿用既有英文投稿母包的拼写。人心首次出现写为Renxin (人心)，后文使用Renxin；书名采用上表固定引文形式。此处释义用于读者导航，不替代原书完整定义。全文、署名、属性与续读据此保持一致；候选人工或非人类主体使用candidate subject，不以称谓预判资格。</w:t>
      </w:r>
    </w:p>
    <w:p>
      <w:pPr>
        <w:pStyle w:val="Heading2"/>
      </w:pPr>
      <w:r>
        <w:t>8.4 版本与公开入口</w:t>
      </w:r>
    </w:p>
    <w:p>
      <w:pPr/>
      <w:r>
        <w:t>CI-001 V1.4在V1.3基础上定向修订。母本先统一，再更新引用与机制关系；旧版仅供追溯。中英文独立成件，条款与附录对应；释义差异以中文核对并同步修正英文。原始文本及本次修订日期：2026-09-08。状态：修订稿。</w:t>
      </w:r>
    </w:p>
    <w:p>
      <w:pPr>
        <w:pStyle w:val="Source"/>
      </w:pPr>
      <w:r>
        <w:t>公开存档链接：待绑定。对应稳定DOI与网站入口仍待核验绑定；本轮可先通过附录C及随附原文件复核引文。绑定公开入口时应核对名称、作者、版本与存档内容。</w:t>
      </w:r>
    </w:p>
    <w:p>
      <w:pPr>
        <w:pStyle w:val="Heading1"/>
        <w:pageBreakBefore/>
      </w:pPr>
      <w:r>
        <w:t>附录A｜最小审计记录表</w:t>
      </w:r>
    </w:p>
    <w:p>
      <w:pPr/>
      <w:r>
        <w:t>按一次具体评估填写；每个受影响群体或关键能力分别记录C／E／R。两张表共同构成最小记录，空白不代表通过。以下为空白模板，不代表任何实际系统已接受审计。</w:t>
      </w:r>
    </w:p>
    <w:p>
      <w:pPr>
        <w:pStyle w:val="Heading2"/>
      </w:pPr>
      <w:r>
        <w:t>A.1 评估边界与当前结构状态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650"/>
        <w:gridCol w:w="6710"/>
      </w:tblGrid>
      <w:tr>
        <w:trPr>
          <w:cantSplit/>
          <w:tblHeader/>
        </w:trPr>
        <w:tc>
          <w:tcPr>
            <w:tcW w:type="dxa" w:w="2650"/>
            <w:vAlign w:val="center"/>
            <w:shd w:fill="E8EEF5"/>
          </w:tcPr>
          <w:p>
            <w:pPr>
              <w:pStyle w:val="TableHead"/>
            </w:pPr>
            <w:r>
              <w:t>记录字段</w:t>
            </w:r>
          </w:p>
        </w:tc>
        <w:tc>
          <w:tcPr>
            <w:tcW w:type="dxa" w:w="6710"/>
            <w:vAlign w:val="center"/>
            <w:shd w:fill="E8EEF5"/>
          </w:tcPr>
          <w:p>
            <w:pPr>
              <w:pStyle w:val="TableHead"/>
            </w:pPr>
            <w:r>
              <w:t>填写内容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评估标识与采用模式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记录编号、日期：</w:t>
              <w:br/>
              <w:t>自评估／治理采用；填写人及利益关系：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对象与版本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系统／机制名称、版本、配置：</w:t>
              <w:br/>
              <w:t>关键依赖与责任方：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主体与关键能力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主体／群体；候选资格及证据编号：</w:t>
              <w:br/>
              <w:t>被审查的能力／控制关系；代表安排：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候选主体识别（如适用）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五项主体线索的证据、未知与局限（非唯一资格标准）：</w:t>
              <w:br/>
              <w:t>资格结论与复核安排（可附独立记录）：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边界、阶段与窗口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系统边界、适用阶段与评估时点：</w:t>
              <w:br/>
              <w:t>关键窗口、关闭事件及依据：</w:t>
            </w:r>
            <w:r>
              <w:br/>
              <w:t>同族条款采用范围及72小时时限（如适用）：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C｜当前纠错通道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状态（1／0／?）、启动方及责任方：</w:t>
              <w:br/>
              <w:t>执行路径、证据编号及有效期限：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E｜当前退出与拒绝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状态（1／0／?）、退出／替代路径：</w:t>
              <w:br/>
              <w:t>实际代价、承接方及证据编号：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R｜当前恢复条件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状态（1／0／?）、资源与执行权限：</w:t>
              <w:br/>
              <w:t>当前缺口、测试结果及证据编号：</w:t>
            </w:r>
          </w:p>
        </w:tc>
      </w:tr>
    </w:tbl>
    <w:p>
      <w:pPr>
        <w:spacing w:after="0"/>
      </w:pPr>
    </w:p>
    <w:p>
      <w:pPr>
        <w:pStyle w:val="Source"/>
      </w:pPr>
      <w:r>
        <w:t>填写提醒：R＝0只记录当前失效；能否补齐条件须继续填写A.2。不能将缺少证据记为0，也不能将当前0／0／0直接写为不可逆。</w:t>
      </w:r>
    </w:p>
    <w:p>
      <w:pPr>
        <w:pStyle w:val="Heading1"/>
        <w:pageBreakBefore/>
      </w:pPr>
      <w:r>
        <w:t>附录A｜最小审计记录表（续）</w:t>
      </w:r>
    </w:p>
    <w:p>
      <w:pPr>
        <w:pStyle w:val="Heading2"/>
      </w:pPr>
      <w:r>
        <w:t>A.2 可重建性、复核与处置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650"/>
        <w:gridCol w:w="6710"/>
      </w:tblGrid>
      <w:tr>
        <w:trPr>
          <w:cantSplit/>
          <w:tblHeader/>
        </w:trPr>
        <w:tc>
          <w:tcPr>
            <w:tcW w:type="dxa" w:w="2650"/>
            <w:vAlign w:val="center"/>
            <w:shd w:fill="E8EEF5"/>
          </w:tcPr>
          <w:p>
            <w:pPr>
              <w:pStyle w:val="TableHead"/>
            </w:pPr>
            <w:r>
              <w:t>记录字段</w:t>
            </w:r>
          </w:p>
        </w:tc>
        <w:tc>
          <w:tcPr>
            <w:tcW w:type="dxa" w:w="6710"/>
            <w:vAlign w:val="center"/>
            <w:shd w:fill="E8EEF5"/>
          </w:tcPr>
          <w:p>
            <w:pPr>
              <w:pStyle w:val="TableHead"/>
            </w:pPr>
            <w:r>
              <w:t>填写内容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第2.4节独立结论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可重建／结构性不可逆／现实条件下不可逆／证据不足：</w:t>
              <w:br/>
              <w:t>路径、验证与证据编号：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重建依据与未知项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缺失条件、替代路径、资源、权限与时限：</w:t>
              <w:br/>
              <w:t>适用假设、未知项、补证责任与期限：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四个证据维度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事实／权益／后果／时间各维负责人：</w:t>
              <w:br/>
              <w:t>证据、结论、异议及记录编号：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权限与独立性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现有权限依据、回避与独立取证安排：</w:t>
              <w:br/>
              <w:t>未具备／未完成项目；外部复核需求：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判断与效力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自评估初步判断／独立最终裁决：</w:t>
              <w:br/>
              <w:t>范围、依据、责任主体、日期及异议处理：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措施与承接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暂停／修复／迁移／终止对象及执行权限：</w:t>
              <w:br/>
              <w:t>必要服务、保全条件与承接责任：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期限与误判修复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生效、到期、复审日期及解除条件：</w:t>
              <w:br/>
              <w:t>异议入口、复核主体与错误修复安排：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pStyle w:val="FormText"/>
            </w:pPr>
            <w:r>
              <w:t>反馈与复测</w:t>
            </w:r>
          </w:p>
        </w:tc>
        <w:tc>
          <w:tcPr>
            <w:tcW w:type="dxa" w:w="6710"/>
            <w:vAlign w:val="center"/>
          </w:tcPr>
          <w:p>
            <w:pPr>
              <w:pStyle w:val="FormText"/>
            </w:pPr>
            <w:r>
              <w:t>发现的问题、实际修改与复测结果：</w:t>
              <w:br/>
              <w:t>记录责任人及完成日期：</w:t>
            </w:r>
          </w:p>
        </w:tc>
      </w:tr>
    </w:tbl>
    <w:p>
      <w:pPr>
        <w:spacing w:after="0"/>
      </w:pPr>
    </w:p>
    <w:p>
      <w:pPr>
        <w:pStyle w:val="Source"/>
      </w:pPr>
      <w:r>
        <w:t>证据附件须对应具体对象、版本、时间与测试或记录。自评估未获得独立复核或外部裁决权限时，应如实标注；任何措施续期均须说明理由与下一复核时点。</w:t>
      </w:r>
    </w:p>
    <w:p>
      <w:pPr>
        <w:pStyle w:val="Heading1"/>
        <w:pageBreakBefore/>
      </w:pPr>
      <w:r>
        <w:t>附录B｜V1.3至V1.4修订说明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050"/>
        <w:gridCol w:w="7310"/>
      </w:tblGrid>
      <w:tr>
        <w:trPr>
          <w:cantSplit/>
          <w:tblHeader/>
        </w:trPr>
        <w:tc>
          <w:tcPr>
            <w:tcW w:type="dxa" w:w="2050"/>
            <w:vAlign w:val="center"/>
            <w:shd w:fill="E8EEF5"/>
          </w:tcPr>
          <w:p>
            <w:pPr>
              <w:pStyle w:val="TableHead"/>
            </w:pPr>
            <w:r>
              <w:t>项目</w:t>
            </w:r>
          </w:p>
        </w:tc>
        <w:tc>
          <w:tcPr>
            <w:tcW w:type="dxa" w:w="7310"/>
            <w:vAlign w:val="center"/>
            <w:shd w:fill="E8EEF5"/>
          </w:tcPr>
          <w:p>
            <w:pPr>
              <w:pStyle w:val="TableHead"/>
            </w:pPr>
            <w:r>
              <w:t>处理结果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母本统一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</w:pPr>
            <w:r>
              <w:t>以历史V1.1的第27章完整论述回灌结构地图分支，形成正式版V1.2统一母本；标题、版本、日期及属性明确身份。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同族机制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</w:pPr>
            <w:r>
              <w:t>补引第15章、附录二及三；区分母本已有制度与CI-001操作化增补，写明72小时时限及非对称回滚的适用关系。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核验包完整性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</w:pPr>
            <w:r>
              <w:t>长文V1.2候选稿实际纳入deliverables，记录路径、字节大小和哈希；清单列出的每一产物均可在包内找到。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</w:pPr>
            <w:r>
              <w:t>引用与记录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</w:pPr>
            <w:r>
              <w:t>第8.1、8.2节、处置条款、审计表、续读与附录C同步；保留历史原件及其既有哈希，不以合并文件冒充旧原件。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t>续读指引</w:t>
      </w:r>
    </w:p>
    <w:p>
      <w:pPr>
        <w:pageBreakBefore w:val="0"/>
      </w:pPr>
      <w:r>
        <w:t>本轮调阅《文明跃迁之意义共生》，交付M1所列正式版V1.2。主体识别阅读第18章并结合第9章预保护；申诉、退出、纠偏、回滚与停机阅读第15章及附录二、三，并与本判据第8.2节对照。四重复核阅读《人心：AGI时代文明免疫系统》第一章补节；两套维度关系阅读包内L1《当人类一去不复返》V1.2候选稿第九章。历史S2、S4、S5不再作为本轮并行交付版本。</w:t>
      </w:r>
    </w:p>
    <w:p>
      <w:pPr>
        <w:pStyle w:val="Callout"/>
        <w:pageBreakBefore w:val="0"/>
      </w:pPr>
      <w:r>
        <w:t>在最后一条路消失之前，让封闭被看见，让干预来得及，也让干预本身仍可纠错。</w:t>
      </w:r>
    </w:p>
    <w:p>
      <w:pPr>
        <w:pStyle w:val="Heading1"/>
        <w:pageBreakBefore/>
      </w:pPr>
      <w:r>
        <w:t>附录C｜源文件与实际产物核验记录</w:t>
      </w:r>
    </w:p>
    <w:p>
      <w:pPr>
        <w:pageBreakBefore w:val="0"/>
      </w:pPr>
      <w:r>
        <w:t>执行者：ChatGPT（AI辅助文件核对）。核验时刻：2026-09-08T07:17:12Z（UTC）。S为历史原件，M1为本轮统一母本，L1为已入包的长文产物。所有记录均对应完整DOCX字节；包内SHA256SUMS与manifest.json共同列明路径、大小、哈希和版本角色。</w:t>
      </w:r>
    </w:p>
    <w:p>
      <w:pPr>
        <w:pStyle w:val="ClauseLead"/>
        <w:keepNext/>
        <w:pageBreakBefore w:val="0"/>
      </w:pPr>
      <w:r>
        <w:t>S1｜历史引文原件</w:t>
      </w:r>
    </w:p>
    <w:p>
      <w:pPr>
        <w:pStyle w:val="Source"/>
        <w:keepNext/>
        <w:pageBreakBefore w:val="0"/>
      </w:pPr>
      <w:r>
        <w:t>人心_AGI时代文明免疫系统_V1.3_R4E-E4文稿族联合终核正式版.docx</w:t>
      </w:r>
    </w:p>
    <w:p>
      <w:pPr>
        <w:pStyle w:val="Source"/>
        <w:keepNext/>
        <w:pageBreakBefore w:val="0"/>
      </w:pPr>
      <w:r>
        <w:t>SHA-256: 45a4ff773626c1d7c5a09d88b7ad37855a15aec37137097367eeeabc4028134a</w:t>
      </w:r>
    </w:p>
    <w:p>
      <w:pPr>
        <w:pStyle w:val="Source"/>
        <w:pageBreakBefore w:val="0"/>
      </w:pPr>
      <w:r>
        <w:t>定位：版本说明及第一章补节“人心不是免审权：最后判断现场仍需复核”</w:t>
      </w:r>
    </w:p>
    <w:p>
      <w:pPr>
        <w:pStyle w:val="ClauseLead"/>
        <w:keepNext/>
        <w:pageBreakBefore w:val="0"/>
      </w:pPr>
      <w:r>
        <w:t>S2｜历史术语分支；第27章的合并依据</w:t>
      </w:r>
    </w:p>
    <w:p>
      <w:pPr>
        <w:pStyle w:val="Source"/>
        <w:keepNext/>
        <w:pageBreakBefore w:val="0"/>
      </w:pPr>
      <w:r>
        <w:t>文明跃迁之意义共生_正式版_v1.1_意义涌现术语对齐与统一排版版.docx</w:t>
      </w:r>
    </w:p>
    <w:p>
      <w:pPr>
        <w:pStyle w:val="Source"/>
        <w:keepNext/>
        <w:pageBreakBefore w:val="0"/>
      </w:pPr>
      <w:r>
        <w:t>SHA-256: a3dd68187a40962921b297235e698bfa2c3c8f9814dbfbb41d0f13b1bb1214a4</w:t>
      </w:r>
    </w:p>
    <w:p>
      <w:pPr>
        <w:pStyle w:val="Source"/>
        <w:pageBreakBefore w:val="0"/>
      </w:pPr>
      <w:r>
        <w:t>定位：第9章预保护；第15章申诉纠偏；第18章主体识别；第27章共同意义涌现；附录二与三</w:t>
      </w:r>
    </w:p>
    <w:p>
      <w:pPr>
        <w:pStyle w:val="ClauseLead"/>
        <w:keepNext/>
        <w:pageBreakBefore w:val="0"/>
      </w:pPr>
      <w:r>
        <w:t>S3｜长文历史候选底稿</w:t>
      </w:r>
    </w:p>
    <w:p>
      <w:pPr>
        <w:pStyle w:val="Source"/>
        <w:keepNext/>
        <w:pageBreakBefore w:val="0"/>
      </w:pPr>
      <w:r>
        <w:t>当人类一去不复返_文明为什么能够走向星际_V1.1_出版级定向终校候选稿.docx</w:t>
      </w:r>
    </w:p>
    <w:p>
      <w:pPr>
        <w:pStyle w:val="Source"/>
        <w:keepNext/>
        <w:pageBreakBefore w:val="0"/>
      </w:pPr>
      <w:r>
        <w:t>SHA-256: f531ea6ce3f5f4353a32a40877429b5018f717573cdda0a06df9aa49fb7cbe25</w:t>
      </w:r>
    </w:p>
    <w:p>
      <w:pPr>
        <w:pStyle w:val="Source"/>
        <w:pageBreakBefore w:val="0"/>
      </w:pPr>
      <w:r>
        <w:t>定位：第九章“宇宙公民：从人类共同体走向开放的成员关系”</w:t>
      </w:r>
    </w:p>
    <w:p>
      <w:pPr>
        <w:pStyle w:val="Heading1"/>
        <w:pageBreakBefore/>
      </w:pPr>
      <w:r>
        <w:t>附录C｜分支依据与实际交付（续）</w:t>
      </w:r>
    </w:p>
    <w:p>
      <w:pPr>
        <w:pStyle w:val="ClauseLead"/>
        <w:keepNext/>
        <w:pageBreakBefore w:val="0"/>
      </w:pPr>
      <w:r>
        <w:t>S4｜历史结构地图分支；合并底稿</w:t>
      </w:r>
    </w:p>
    <w:p>
      <w:pPr>
        <w:pStyle w:val="Source"/>
        <w:keepNext/>
        <w:pageBreakBefore w:val="0"/>
      </w:pPr>
      <w:r>
        <w:t>文明跃迁之意义共生_正式版_问题开场结构地图修订版.docx</w:t>
      </w:r>
    </w:p>
    <w:p>
      <w:pPr>
        <w:pStyle w:val="Source"/>
        <w:keepNext/>
        <w:pageBreakBefore w:val="0"/>
      </w:pPr>
      <w:r>
        <w:t>SHA-256: 3d8e98206b3236088df74c78573801fd9e15530199c9ab199b1679adbfacd411</w:t>
      </w:r>
    </w:p>
    <w:p>
      <w:pPr>
        <w:pStyle w:val="Source"/>
        <w:pageBreakBefore w:val="0"/>
      </w:pPr>
      <w:r>
        <w:t>定位：卷首、结构地图、目录、机制红线与第27章旧表述</w:t>
      </w:r>
    </w:p>
    <w:p>
      <w:pPr>
        <w:pStyle w:val="ClauseLead"/>
        <w:keepNext/>
        <w:pageBreakBefore w:val="0"/>
      </w:pPr>
      <w:r>
        <w:t>S5｜历史结构地图延伸分支；差异参照</w:t>
      </w:r>
    </w:p>
    <w:p>
      <w:pPr>
        <w:pStyle w:val="Source"/>
        <w:keepNext/>
        <w:pageBreakBefore w:val="0"/>
      </w:pPr>
      <w:r>
        <w:t>文明跃迁之意义共生_正式版_问题开场结构地图_终核精修版.docx</w:t>
      </w:r>
    </w:p>
    <w:p>
      <w:pPr>
        <w:pStyle w:val="Source"/>
        <w:keepNext/>
        <w:pageBreakBefore w:val="0"/>
      </w:pPr>
      <w:r>
        <w:t>SHA-256: 68fb78eeb74a35c5f376ef43b2a93c193ac6dd2141c6ad54877f833d96d1ad46</w:t>
      </w:r>
    </w:p>
    <w:p>
      <w:pPr>
        <w:pStyle w:val="Source"/>
        <w:pageBreakBefore w:val="0"/>
      </w:pPr>
      <w:r>
        <w:t>定位：比S4多四段目录内说明，与正文第3章重复；不另行叠加进统一母本</w:t>
      </w:r>
    </w:p>
    <w:p>
      <w:pPr>
        <w:pStyle w:val="ClauseLead"/>
        <w:keepNext/>
        <w:pageBreakBefore w:val="0"/>
      </w:pPr>
      <w:r>
        <w:t>M1｜本轮唯一交付母本</w:t>
      </w:r>
    </w:p>
    <w:p>
      <w:pPr>
        <w:pStyle w:val="Source"/>
        <w:keepNext/>
        <w:pageBreakBefore w:val="0"/>
      </w:pPr>
      <w:r>
        <w:t>文明跃迁之意义共生_正式版_V1.2_结构地图与意义涌现统一母本.docx</w:t>
      </w:r>
    </w:p>
    <w:p>
      <w:pPr>
        <w:pStyle w:val="Source"/>
        <w:keepNext/>
        <w:pageBreakBefore w:val="0"/>
      </w:pPr>
      <w:r>
        <w:t>SHA-256: 696673f512b32f8ed4821cb4f97c4fefe02c0d3ad4962b2fe65c35bebf0c00ca</w:t>
      </w:r>
    </w:p>
    <w:p>
      <w:pPr>
        <w:pStyle w:val="Source"/>
        <w:pageBreakBefore w:val="0"/>
      </w:pPr>
      <w:r>
        <w:t>定位：第9、15、18、27章；附录二第2、4、5、6节；附录三第5节</w:t>
      </w:r>
    </w:p>
    <w:p>
      <w:pPr>
        <w:pStyle w:val="ClauseLead"/>
        <w:keepNext/>
        <w:pageBreakBefore w:val="0"/>
      </w:pPr>
      <w:r>
        <w:t>L1｜实际交付产物；V1.2候选稿</w:t>
      </w:r>
    </w:p>
    <w:p>
      <w:pPr>
        <w:pStyle w:val="Source"/>
        <w:keepNext/>
        <w:pageBreakBefore w:val="0"/>
      </w:pPr>
      <w:r>
        <w:t>当人类一去不复返_文明为什么能够走向星际_V1.2_主体识别维度关系补注候选稿.docx</w:t>
      </w:r>
    </w:p>
    <w:p>
      <w:pPr>
        <w:pStyle w:val="Source"/>
        <w:keepNext/>
        <w:pageBreakBefore w:val="0"/>
      </w:pPr>
      <w:r>
        <w:t>SHA-256: 048c798d6416f92de82c2143ff881818685d473c985a45f84b046f59ce030044</w:t>
      </w:r>
    </w:p>
    <w:p>
      <w:pPr>
        <w:pStyle w:val="Source"/>
        <w:pageBreakBefore w:val="0"/>
      </w:pPr>
      <w:r>
        <w:t>定位：第九章两套识别维度关系补注；保留候选稿身份</w:t>
      </w:r>
    </w:p>
    <w:p>
      <w:pPr>
        <w:pStyle w:val="Source"/>
        <w:pageBreakBefore w:val="0"/>
      </w:pPr>
      <w:r>
        <w:t>核验结论：M1完整承接S2第27章的七段正文；指定的第9、15、18章及附录二、三原条款保留。S4的开场、机制红线与有效正文保留；结构地图顺序及目录内误置的终章导语归位；修正章末红线的分页位置并补页码。S5仅比S4增加四段目录内说明，其内容已在正文第3章展开，不重复叠加。L1与上一轮实际生成文件字节一致。哈希确认文件同一性，不证明理论真伪、出版效力或独立治理审查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CI-001 V1.4  |  不可逆封闭判据 · 修订稿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120" w:line="300" w:lineRule="auto"/>
      <w:jc w:val="left"/>
    </w:pPr>
    <w:rPr>
      <w:rFonts w:ascii="Calibri" w:hAnsi="Calibri" w:eastAsia="Noto Sans SC"/>
      <w:b w:val="0"/>
      <w:i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  <w:jc w:val="left"/>
    </w:pPr>
    <w:rPr>
      <w:rFonts w:ascii="Calibri" w:hAnsi="Calibri" w:eastAsia="Noto Sans SC"/>
      <w:b w:val="0"/>
      <w:i w:val="0"/>
      <w:color w:val="5B65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  <w:jc w:val="left"/>
    </w:pPr>
    <w:rPr>
      <w:rFonts w:ascii="Calibri" w:hAnsi="Calibri" w:eastAsia="Noto Sans SC"/>
      <w:b w:val="0"/>
      <w:i w:val="0"/>
      <w:color w:val="5B65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jc w:val="left"/>
      <w:outlineLvl w:val="0"/>
    </w:pPr>
    <w:rPr>
      <w:rFonts w:ascii="Calibri" w:hAnsi="Calibri" w:eastAsia="Noto Sans SC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jc w:val="left"/>
      <w:outlineLvl w:val="1"/>
    </w:pPr>
    <w:rPr>
      <w:rFonts w:ascii="Calibri" w:hAnsi="Calibri" w:eastAsia="Noto Sans SC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jc w:val="left"/>
      <w:outlineLvl w:val="2"/>
    </w:pPr>
    <w:rPr>
      <w:rFonts w:ascii="Calibri" w:hAnsi="Calibri" w:eastAsia="Noto Sans SC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64" w:lineRule="auto" w:before="0"/>
      <w:contextualSpacing/>
      <w:jc w:val="left"/>
    </w:pPr>
    <w:rPr>
      <w:rFonts w:ascii="Calibri" w:hAnsi="Calibri" w:eastAsia="Noto Sans SC"/>
      <w:b/>
      <w:i w:val="0"/>
      <w:color w:val="0B2545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spacing w:before="0" w:after="120" w:line="300" w:lineRule="auto"/>
      <w:jc w:val="left"/>
    </w:pPr>
    <w:rPr>
      <w:rFonts w:ascii="Calibri" w:hAnsi="Calibri" w:eastAsia="Noto Sans SC"/>
      <w:b w:val="0"/>
      <w:i w:val="0"/>
      <w:iCs/>
      <w:color w:val="5B6573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keepNext w:val="0"/>
      <w:keepLines/>
      <w:widowControl/>
      <w:spacing w:before="0" w:after="60" w:line="276" w:lineRule="auto"/>
      <w:jc w:val="left"/>
    </w:pPr>
    <w:rPr>
      <w:rFonts w:ascii="Calibri" w:hAnsi="Calibri" w:eastAsia="Noto Sans SC"/>
      <w:b w:val="0"/>
      <w:i w:val="0"/>
      <w:color w:val="17212B"/>
      <w:sz w:val="19"/>
    </w:rPr>
  </w:style>
  <w:style w:type="paragraph" w:customStyle="1" w:styleId="TableHead">
    <w:name w:val="Table Head"/>
    <w:pPr>
      <w:keepNext w:val="0"/>
      <w:keepLines/>
      <w:widowControl/>
      <w:spacing w:before="0" w:after="60" w:line="276" w:lineRule="auto"/>
      <w:jc w:val="left"/>
    </w:pPr>
    <w:rPr>
      <w:rFonts w:ascii="Calibri" w:hAnsi="Calibri" w:eastAsia="Noto Sans SC"/>
      <w:b/>
      <w:i w:val="0"/>
      <w:color w:val="0B2545"/>
      <w:sz w:val="19"/>
    </w:rPr>
  </w:style>
  <w:style w:type="paragraph" w:customStyle="1" w:styleId="FormText">
    <w:name w:val="Form Text"/>
    <w:pPr>
      <w:keepNext w:val="0"/>
      <w:keepLines/>
      <w:widowControl/>
      <w:spacing w:before="0" w:after="60" w:line="280" w:lineRule="exact"/>
      <w:jc w:val="left"/>
    </w:pPr>
    <w:rPr>
      <w:rFonts w:ascii="Calibri" w:hAnsi="Calibri" w:eastAsia="Noto Sans SC"/>
      <w:b w:val="0"/>
      <w:i w:val="0"/>
      <w:color w:val="17212B"/>
      <w:sz w:val="20"/>
    </w:rPr>
  </w:style>
  <w:style w:type="paragraph" w:customStyle="1" w:styleId="Source">
    <w:name w:val="Source"/>
    <w:pPr>
      <w:keepNext w:val="0"/>
      <w:keepLines/>
      <w:widowControl/>
      <w:spacing w:before="80" w:after="80" w:line="276" w:lineRule="auto"/>
      <w:jc w:val="left"/>
    </w:pPr>
    <w:rPr>
      <w:rFonts w:ascii="Calibri" w:hAnsi="Calibri" w:eastAsia="Noto Sans SC"/>
      <w:b w:val="0"/>
      <w:i w:val="0"/>
      <w:color w:val="5B6573"/>
      <w:sz w:val="19"/>
    </w:rPr>
  </w:style>
  <w:style w:type="paragraph" w:customStyle="1" w:styleId="Callout">
    <w:name w:val="Callout"/>
    <w:pPr>
      <w:keepNext w:val="0"/>
      <w:keepLines/>
      <w:widowControl/>
      <w:spacing w:before="160" w:after="160" w:line="300" w:lineRule="auto"/>
      <w:jc w:val="left"/>
    </w:pPr>
    <w:rPr>
      <w:rFonts w:ascii="Calibri" w:hAnsi="Calibri" w:eastAsia="Noto Sans SC"/>
      <w:b/>
      <w:i w:val="0"/>
      <w:color w:val="1F4D78"/>
      <w:sz w:val="22"/>
    </w:rPr>
  </w:style>
  <w:style w:type="paragraph" w:customStyle="1" w:styleId="ClauseLead">
    <w:name w:val="Clause Lead"/>
    <w:pPr>
      <w:keepNext w:val="0"/>
      <w:keepLines/>
      <w:widowControl/>
      <w:spacing w:before="120" w:after="80" w:line="300" w:lineRule="auto"/>
      <w:jc w:val="left"/>
    </w:pPr>
    <w:rPr>
      <w:rFonts w:ascii="Calibri" w:hAnsi="Calibri" w:eastAsia="Noto Sans SC"/>
      <w:b/>
      <w:i w:val="0"/>
      <w:color w:val="17212B"/>
      <w:sz w:val="22"/>
    </w:rPr>
  </w:style>
  <w:style w:type="paragraph" w:customStyle="1" w:styleId="Metadata">
    <w:name w:val="Metadata"/>
    <w:pPr>
      <w:keepNext w:val="0"/>
      <w:widowControl/>
      <w:spacing w:before="0" w:after="60" w:line="276" w:lineRule="auto"/>
      <w:jc w:val="left"/>
    </w:pPr>
    <w:rPr>
      <w:rFonts w:ascii="Calibri" w:hAnsi="Calibri" w:eastAsia="Noto Sans SC"/>
      <w:b w:val="0"/>
      <w:i w:val="0"/>
      <w:color w:val="5B65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不可逆封闭判据｜CI-001 V1.4</dc:title>
  <dc:subject>CI-001 V1.4</dc:subject>
  <dc:creator>子君赋</dc:creator>
  <cp:keywords>CI-001, Civilization Leap, Renxin, Irreversible Closure Criterion</cp:keywords>
  <dc:description>generated by python-docx</dc:description>
  <cp:lastModifiedBy>文明跃迁研究组</cp:lastModifiedBy>
  <cp:revision>1</cp:revision>
  <dcterms:created xsi:type="dcterms:W3CDTF">2026-09-08T00:00:00Z</dcterms:created>
  <dcterms:modified xsi:type="dcterms:W3CDTF">2026-09-08T07:17:13Z</dcterms:modified>
  <cp:category/>
  <cp:version>1.4</cp:version>
  <dc:language>zh-CN</dc:language>
</cp:coreProperties>
</file>