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Yu Mincho" w:cs="Yu Mincho" w:eastAsia="Yu Mincho" w:hAnsi="Yu Mincho"/>
          <w:b/>
          <w:bCs/>
          <w:color w:val="22456E"/>
          <w:sz w:val="52"/>
          <w:szCs w:val="52"/>
        </w:rPr>
        <w:t xml:space="preserve">性能比較検証報告書</w:t>
      </w:r>
    </w:p>
    <w:p>
      <w:pPr>
        <w:jc w:val="center"/>
      </w:pPr>
      <w:r>
        <w:rPr>
          <w:rFonts w:ascii="Yu Mincho" w:cs="Yu Mincho" w:eastAsia="Yu Mincho" w:hAnsi="Yu Mincho"/>
          <w:color w:val="222222"/>
          <w:sz w:val="26"/>
          <w:szCs w:val="26"/>
        </w:rPr>
        <w:t xml:space="preserve">オーラルディアドコキネシス測定における</w:t>
      </w:r>
    </w:p>
    <w:p>
      <w:pPr>
        <w:spacing w:after="600"/>
        <w:jc w:val="center"/>
      </w:pPr>
      <w:r>
        <w:rPr>
          <w:rFonts w:ascii="Yu Mincho" w:cs="Yu Mincho" w:eastAsia="Yu Mincho" w:hAnsi="Yu Mincho"/>
          <w:color w:val="222222"/>
          <w:sz w:val="26"/>
          <w:szCs w:val="26"/>
        </w:rPr>
        <w:t xml:space="preserve">PaTaKaRUSH Pro と既存測定機器（健口くん）の計数精度の比較</w:t>
      </w:r>
    </w:p>
    <w:p>
      <w:pPr>
        <w:spacing w:after="1400"/>
        <w:jc w:val="center"/>
      </w:pPr>
      <w:r>
        <w:rPr>
          <w:rFonts w:ascii="Yu Gothic" w:cs="Yu Gothic" w:eastAsia="Yu Gothic" w:hAnsi="Yu Gothic"/>
          <w:color w:val="595959"/>
          <w:sz w:val="22"/>
          <w:szCs w:val="22"/>
        </w:rPr>
        <w:t xml:space="preserve">― 社内予備検証（パイロット試験）―</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tblGrid>
      <w:tr>
        <w:tc>
          <w:tcPr>
            <w:tcW w:type="dxa" w:w="18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left"/>
            </w:pPr>
            <w:r>
              <w:rPr>
                <w:rFonts w:ascii="Yu Gothic" w:cs="Yu Gothic" w:eastAsia="Yu Gothic" w:hAnsi="Yu Gothic"/>
                <w:b/>
                <w:bCs/>
                <w:color w:val="222222"/>
                <w:sz w:val="19"/>
                <w:szCs w:val="19"/>
              </w:rPr>
              <w:t xml:space="preserve">文書番号</w:t>
            </w:r>
          </w:p>
        </w:tc>
        <w:tc>
          <w:tcPr>
            <w:tcW w:type="dxa" w:w="36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left"/>
            </w:pPr>
            <w:r>
              <w:rPr>
                <w:rFonts w:ascii="Yu Gothic" w:cs="Yu Gothic" w:eastAsia="Yu Gothic" w:hAnsi="Yu Gothic"/>
                <w:b/>
                <w:bCs/>
                <w:color w:val="222222"/>
                <w:sz w:val="19"/>
                <w:szCs w:val="19"/>
              </w:rPr>
              <w:t xml:space="preserve">PTK-VAL-001（仮）</w:t>
            </w:r>
          </w:p>
        </w:tc>
      </w:tr>
      <w:tr>
        <w:tc>
          <w:tcPr>
            <w:tcW w:type="dxa" w:w="18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left"/>
            </w:pPr>
            <w:r>
              <w:rPr>
                <w:rFonts w:ascii="Yu Gothic" w:cs="Yu Gothic" w:eastAsia="Yu Gothic" w:hAnsi="Yu Gothic"/>
                <w:b/>
                <w:bCs/>
                <w:color w:val="222222"/>
                <w:sz w:val="19"/>
                <w:szCs w:val="19"/>
              </w:rPr>
              <w:t xml:space="preserve">版数</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第1.0版</w:t>
            </w:r>
          </w:p>
        </w:tc>
      </w:tr>
      <w:tr>
        <w:tc>
          <w:tcPr>
            <w:tcW w:type="dxa" w:w="18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left"/>
            </w:pPr>
            <w:r>
              <w:rPr>
                <w:rFonts w:ascii="Yu Gothic" w:cs="Yu Gothic" w:eastAsia="Yu Gothic" w:hAnsi="Yu Gothic"/>
                <w:b/>
                <w:bCs/>
                <w:color w:val="222222"/>
                <w:sz w:val="19"/>
                <w:szCs w:val="19"/>
              </w:rPr>
              <w:t xml:space="preserve">発行日</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2026年10月31日</w:t>
            </w:r>
          </w:p>
        </w:tc>
      </w:tr>
      <w:tr>
        <w:tc>
          <w:tcPr>
            <w:tcW w:type="dxa" w:w="18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left"/>
            </w:pPr>
            <w:r>
              <w:rPr>
                <w:rFonts w:ascii="Yu Gothic" w:cs="Yu Gothic" w:eastAsia="Yu Gothic" w:hAnsi="Yu Gothic"/>
                <w:b/>
                <w:bCs/>
                <w:color w:val="222222"/>
                <w:sz w:val="19"/>
                <w:szCs w:val="19"/>
              </w:rPr>
              <w:t xml:space="preserve">作成</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株式会社アイキャット　品質管理部　（氏名・押印）</w:t>
            </w:r>
          </w:p>
        </w:tc>
      </w:tr>
      <w:tr>
        <w:tc>
          <w:tcPr>
            <w:tcW w:type="dxa" w:w="18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left"/>
            </w:pPr>
            <w:r>
              <w:rPr>
                <w:rFonts w:ascii="Yu Gothic" w:cs="Yu Gothic" w:eastAsia="Yu Gothic" w:hAnsi="Yu Gothic"/>
                <w:b/>
                <w:bCs/>
                <w:color w:val="222222"/>
                <w:sz w:val="19"/>
                <w:szCs w:val="19"/>
              </w:rPr>
              <w:t xml:space="preserve">照査</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（氏名・押印）</w:t>
            </w:r>
          </w:p>
        </w:tc>
      </w:tr>
      <w:tr>
        <w:tc>
          <w:tcPr>
            <w:tcW w:type="dxa" w:w="18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left"/>
            </w:pPr>
            <w:r>
              <w:rPr>
                <w:rFonts w:ascii="Yu Gothic" w:cs="Yu Gothic" w:eastAsia="Yu Gothic" w:hAnsi="Yu Gothic"/>
                <w:b/>
                <w:bCs/>
                <w:color w:val="222222"/>
                <w:sz w:val="19"/>
                <w:szCs w:val="19"/>
              </w:rPr>
              <w:t xml:space="preserve">承認</w:t>
            </w:r>
          </w:p>
        </w:tc>
        <w:tc>
          <w:tcPr>
            <w:tcW w:type="dxa" w:w="36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（氏名・押印）</w:t>
            </w:r>
          </w:p>
        </w:tc>
      </w:tr>
    </w:tbl>
    <w:p>
      <w:r>
        <w:br w:type="page"/>
      </w:r>
    </w:p>
    <w:p>
      <w:pPr>
        <w:spacing w:after="160" w:before="320"/>
        <w:outlineLvl w:val="0"/>
      </w:pPr>
      <w:r>
        <w:rPr>
          <w:rFonts w:ascii="Yu Gothic" w:cs="Yu Gothic" w:eastAsia="Yu Gothic" w:hAnsi="Yu Gothic"/>
          <w:b/>
          <w:bCs/>
          <w:color w:val="22456E"/>
          <w:sz w:val="26"/>
          <w:szCs w:val="26"/>
        </w:rPr>
        <w:t xml:space="preserve">1. 目的</w:t>
      </w:r>
    </w:p>
    <w:p>
      <w:pPr>
        <w:spacing w:after="120" w:line="320"/>
      </w:pPr>
      <w:r>
        <w:rPr>
          <w:rFonts w:ascii="Yu Gothic" w:cs="Yu Gothic" w:eastAsia="Yu Gothic" w:hAnsi="Yu Gothic"/>
          <w:color w:val="222222"/>
          <w:sz w:val="21"/>
          <w:szCs w:val="21"/>
        </w:rPr>
        <w:t xml:space="preserve">本検証は、医療機器プログラム（開発中）「PaTaKaRUSH Pro」（以下「本品」）の舌口唇運動機能（オーラルディアドコキネシス。以下「ODK」）計数精度を、既存のODK測定機器「健口くん」（以下「対照機」）と比較し、本品の計数性能の見込みを確認することを目的とした社内予備検証（パイロット試験）である。</w:t>
      </w:r>
    </w:p>
    <w:p>
      <w:pPr>
        <w:spacing w:after="120" w:line="320"/>
      </w:pPr>
      <w:r>
        <w:rPr>
          <w:rFonts w:ascii="Yu Gothic" w:cs="Yu Gothic" w:eastAsia="Yu Gothic" w:hAnsi="Yu Gothic"/>
          <w:color w:val="222222"/>
          <w:sz w:val="21"/>
          <w:szCs w:val="21"/>
        </w:rPr>
        <w:t xml:space="preserve">本結果は、プログラム医療機器等に係る優先的な審査等の指定希望品目登録申込書（様式1）指定要件2「検査精度が既存手法と同等以上」の主張を支持する予備的根拠として用い、検証的な性能試験（別途計画）の設計の基礎とする。</w:t>
      </w:r>
    </w:p>
    <w:p>
      <w:pPr>
        <w:spacing w:after="160" w:before="320"/>
        <w:outlineLvl w:val="0"/>
      </w:pPr>
      <w:r>
        <w:rPr>
          <w:rFonts w:ascii="Yu Gothic" w:cs="Yu Gothic" w:eastAsia="Yu Gothic" w:hAnsi="Yu Gothic"/>
          <w:b/>
          <w:bCs/>
          <w:color w:val="22456E"/>
          <w:sz w:val="26"/>
          <w:szCs w:val="26"/>
        </w:rPr>
        <w:t xml:space="preserve">2. 試験機器</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7000"/>
      </w:tblGrid>
      <w:tr>
        <w:tc>
          <w:tcPr>
            <w:tcW w:type="dxa" w:w="18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left"/>
            </w:pPr>
            <w:r>
              <w:rPr>
                <w:rFonts w:ascii="Yu Gothic" w:cs="Yu Gothic" w:eastAsia="Yu Gothic" w:hAnsi="Yu Gothic"/>
                <w:b/>
                <w:bCs/>
                <w:color w:val="222222"/>
                <w:sz w:val="19"/>
                <w:szCs w:val="19"/>
              </w:rPr>
              <w:t xml:space="preserve">区分</w:t>
            </w:r>
          </w:p>
        </w:tc>
        <w:tc>
          <w:tcPr>
            <w:tcW w:type="dxa" w:w="70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left"/>
            </w:pPr>
            <w:r>
              <w:rPr>
                <w:rFonts w:ascii="Yu Gothic" w:cs="Yu Gothic" w:eastAsia="Yu Gothic" w:hAnsi="Yu Gothic"/>
                <w:b/>
                <w:bCs/>
                <w:color w:val="222222"/>
                <w:sz w:val="19"/>
                <w:szCs w:val="19"/>
              </w:rPr>
              <w:t xml:space="preserve">機器</w:t>
            </w:r>
          </w:p>
        </w:tc>
      </w:tr>
      <w:tr>
        <w:tc>
          <w:tcPr>
            <w:tcW w:type="dxa" w:w="18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被験機</w:t>
            </w:r>
          </w:p>
        </w:tc>
        <w:tc>
          <w:tcPr>
            <w:tcW w:type="dxa" w:w="70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PaTaKaRUSH Pro（スマートフォンアプリ、バージョン：〔要記入〕、使用端末：〔要記入〕）</w:t>
            </w:r>
          </w:p>
        </w:tc>
      </w:tr>
      <w:tr>
        <w:tc>
          <w:tcPr>
            <w:tcW w:type="dxa" w:w="18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対照機</w:t>
            </w:r>
          </w:p>
        </w:tc>
        <w:tc>
          <w:tcPr>
            <w:tcW w:type="dxa" w:w="70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健口くん（音響カウント方式のODK測定機器、型式：〔要記入〕）</w:t>
            </w:r>
          </w:p>
        </w:tc>
      </w:tr>
    </w:tbl>
    <w:p>
      <w:pPr>
        <w:spacing w:after="160" w:before="320"/>
        <w:outlineLvl w:val="0"/>
      </w:pPr>
      <w:r>
        <w:rPr>
          <w:rFonts w:ascii="Yu Gothic" w:cs="Yu Gothic" w:eastAsia="Yu Gothic" w:hAnsi="Yu Gothic"/>
          <w:b/>
          <w:bCs/>
          <w:color w:val="22456E"/>
          <w:sz w:val="26"/>
          <w:szCs w:val="26"/>
        </w:rPr>
        <w:t xml:space="preserve">3. 方法</w:t>
      </w:r>
    </w:p>
    <w:p>
      <w:pPr>
        <w:spacing w:after="100" w:before="200"/>
      </w:pPr>
      <w:r>
        <w:rPr>
          <w:rFonts w:ascii="Yu Gothic" w:cs="Yu Gothic" w:eastAsia="Yu Gothic" w:hAnsi="Yu Gothic"/>
          <w:b/>
          <w:bCs/>
          <w:color w:val="222222"/>
          <w:sz w:val="22"/>
          <w:szCs w:val="22"/>
        </w:rPr>
        <w:t xml:space="preserve">3.1 被験者</w:t>
      </w:r>
    </w:p>
    <w:p>
      <w:pPr>
        <w:spacing w:after="120" w:line="320"/>
      </w:pPr>
      <w:r>
        <w:rPr>
          <w:rFonts w:ascii="Yu Gothic" w:cs="Yu Gothic" w:eastAsia="Yu Gothic" w:hAnsi="Yu Gothic"/>
          <w:color w:val="222222"/>
          <w:sz w:val="21"/>
          <w:szCs w:val="21"/>
        </w:rPr>
        <w:t xml:space="preserve">社内職員2名（健常成人。以下「被験者A」「被験者B」）。</w:t>
      </w:r>
    </w:p>
    <w:p>
      <w:pPr>
        <w:spacing w:after="100" w:before="200"/>
      </w:pPr>
      <w:r>
        <w:rPr>
          <w:rFonts w:ascii="Yu Gothic" w:cs="Yu Gothic" w:eastAsia="Yu Gothic" w:hAnsi="Yu Gothic"/>
          <w:b/>
          <w:bCs/>
          <w:color w:val="222222"/>
          <w:sz w:val="22"/>
          <w:szCs w:val="22"/>
        </w:rPr>
        <w:t xml:space="preserve">3.2 試験課題</w:t>
      </w:r>
    </w:p>
    <w:p>
      <w:pPr>
        <w:spacing w:after="120" w:line="320"/>
      </w:pPr>
      <w:r>
        <w:rPr>
          <w:rFonts w:ascii="Yu Gothic" w:cs="Yu Gothic" w:eastAsia="Yu Gothic" w:hAnsi="Yu Gothic"/>
          <w:color w:val="222222"/>
          <w:sz w:val="21"/>
          <w:szCs w:val="21"/>
        </w:rPr>
        <w:t xml:space="preserve">単音節語（パ・タ・カ・ラ）の連続発声課題を計18試行実施した（総発声数789回）。被験者Aは各音節30回の統制発声試験および最速連続発声（高速追従）試験、被験者Bは各音節の最速連続発声を各3試行実施した。加えて、生活環境音（生活音・拍手等、計143イベント）に対する誤検出試験を実施した。</w:t>
      </w:r>
    </w:p>
    <w:p>
      <w:pPr>
        <w:spacing w:after="100" w:before="200"/>
      </w:pPr>
      <w:r>
        <w:rPr>
          <w:rFonts w:ascii="Yu Gothic" w:cs="Yu Gothic" w:eastAsia="Yu Gothic" w:hAnsi="Yu Gothic"/>
          <w:b/>
          <w:bCs/>
          <w:color w:val="222222"/>
          <w:sz w:val="22"/>
          <w:szCs w:val="22"/>
        </w:rPr>
        <w:t xml:space="preserve">3.3 真値の設定</w:t>
      </w:r>
    </w:p>
    <w:p>
      <w:pPr>
        <w:spacing w:after="120" w:line="320"/>
      </w:pPr>
      <w:r>
        <w:rPr>
          <w:rFonts w:ascii="Yu Gothic" w:cs="Yu Gothic" w:eastAsia="Yu Gothic" w:hAnsi="Yu Gothic"/>
          <w:color w:val="222222"/>
          <w:sz w:val="21"/>
          <w:szCs w:val="21"/>
        </w:rPr>
        <w:t xml:space="preserve">各試行の発声回数の真値は、〔録音音声の評価者によるカウント：方法を要記入〕により確定した。同一発声に対する被験機・対照機の計数値を真値と対比し、認識率（計数値／真値）を算出した。</w:t>
      </w:r>
    </w:p>
    <w:p>
      <w:pPr>
        <w:spacing w:after="100" w:before="200"/>
      </w:pPr>
      <w:r>
        <w:rPr>
          <w:rFonts w:ascii="Yu Gothic" w:cs="Yu Gothic" w:eastAsia="Yu Gothic" w:hAnsi="Yu Gothic"/>
          <w:b/>
          <w:bCs/>
          <w:color w:val="222222"/>
          <w:sz w:val="22"/>
          <w:szCs w:val="22"/>
        </w:rPr>
        <w:t xml:space="preserve">3.4 評価項目</w:t>
      </w:r>
    </w:p>
    <w:p>
      <w:pPr>
        <w:spacing w:after="120" w:line="320"/>
      </w:pPr>
      <w:r>
        <w:rPr>
          <w:rFonts w:ascii="Yu Gothic" w:cs="Yu Gothic" w:eastAsia="Yu Gothic" w:hAnsi="Yu Gothic"/>
          <w:color w:val="222222"/>
          <w:sz w:val="21"/>
          <w:szCs w:val="21"/>
        </w:rPr>
        <w:t xml:space="preserve">①総合音声認識率（全789発声）、②難測定音（タ・カ・ラ、計589発声）の捕捉率、③環境音に対する誤検出件数、④測定脱落（計数不能・固定化）件数、⑤音節別認識率。</w:t>
      </w:r>
    </w:p>
    <w:p>
      <w:pPr>
        <w:spacing w:after="160" w:before="320"/>
        <w:outlineLvl w:val="0"/>
      </w:pPr>
      <w:r>
        <w:rPr>
          <w:rFonts w:ascii="Yu Gothic" w:cs="Yu Gothic" w:eastAsia="Yu Gothic" w:hAnsi="Yu Gothic"/>
          <w:b/>
          <w:bCs/>
          <w:color w:val="22456E"/>
          <w:sz w:val="26"/>
          <w:szCs w:val="26"/>
        </w:rPr>
        <w:t xml:space="preserve">4. 結果</w:t>
      </w:r>
    </w:p>
    <w:p>
      <w:pPr>
        <w:spacing w:after="100" w:before="200"/>
      </w:pPr>
      <w:r>
        <w:rPr>
          <w:rFonts w:ascii="Yu Gothic" w:cs="Yu Gothic" w:eastAsia="Yu Gothic" w:hAnsi="Yu Gothic"/>
          <w:b/>
          <w:bCs/>
          <w:color w:val="222222"/>
          <w:sz w:val="22"/>
          <w:szCs w:val="22"/>
        </w:rPr>
        <w:t xml:space="preserve">4.1 総合結果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100"/>
        <w:gridCol w:w="2000"/>
      </w:tblGrid>
      <w:tr>
        <w:tc>
          <w:tcPr>
            <w:tcW w:type="dxa" w:w="29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left"/>
            </w:pPr>
            <w:r>
              <w:rPr>
                <w:rFonts w:ascii="Yu Gothic" w:cs="Yu Gothic" w:eastAsia="Yu Gothic" w:hAnsi="Yu Gothic"/>
                <w:b/>
                <w:bCs/>
                <w:color w:val="222222"/>
                <w:sz w:val="19"/>
                <w:szCs w:val="19"/>
              </w:rPr>
              <w:t xml:space="preserve">評価項目</w:t>
            </w:r>
          </w:p>
        </w:tc>
        <w:tc>
          <w:tcPr>
            <w:tcW w:type="dxa" w:w="20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対照機（健口くん）</w:t>
            </w:r>
          </w:p>
        </w:tc>
        <w:tc>
          <w:tcPr>
            <w:tcW w:type="dxa" w:w="21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被験機（本品）</w:t>
            </w:r>
          </w:p>
        </w:tc>
        <w:tc>
          <w:tcPr>
            <w:tcW w:type="dxa" w:w="20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差分</w:t>
            </w:r>
          </w:p>
        </w:tc>
      </w:tr>
      <w:tr>
        <w:tc>
          <w:tcPr>
            <w:tcW w:type="dxa" w:w="2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① 総合音声認識率（789発声）</w:t>
            </w:r>
          </w:p>
        </w:tc>
        <w:tc>
          <w:tcPr>
            <w:tcW w:type="dxa" w:w="20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45.9%（362/789）</w:t>
            </w:r>
          </w:p>
        </w:tc>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88.8%（701/789）</w:t>
            </w:r>
          </w:p>
        </w:tc>
        <w:tc>
          <w:tcPr>
            <w:tcW w:type="dxa" w:w="20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+42.9pt（1.94倍）</w:t>
            </w:r>
          </w:p>
        </w:tc>
      </w:tr>
      <w:tr>
        <w:tc>
          <w:tcPr>
            <w:tcW w:type="dxa" w:w="2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② 難測定音（タ・カ・ラ、589発声）捕捉率</w:t>
            </w:r>
          </w:p>
        </w:tc>
        <w:tc>
          <w:tcPr>
            <w:tcW w:type="dxa" w:w="20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36.0%（212/589）</w:t>
            </w:r>
          </w:p>
        </w:tc>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88.8%（523/589）</w:t>
            </w:r>
          </w:p>
        </w:tc>
        <w:tc>
          <w:tcPr>
            <w:tcW w:type="dxa" w:w="20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+52.8pt（2.47倍）</w:t>
            </w:r>
          </w:p>
        </w:tc>
      </w:tr>
      <w:tr>
        <w:tc>
          <w:tcPr>
            <w:tcW w:type="dxa" w:w="2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③ 環境音誤検出（143イベント）</w:t>
            </w:r>
          </w:p>
        </w:tc>
        <w:tc>
          <w:tcPr>
            <w:tcW w:type="dxa" w:w="20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97回（67.8%が誤反応）</w:t>
            </w:r>
          </w:p>
        </w:tc>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5回</w:t>
            </w:r>
          </w:p>
        </w:tc>
        <w:tc>
          <w:tcPr>
            <w:tcW w:type="dxa" w:w="20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誤検出92回削減（94.8%減）</w:t>
            </w:r>
          </w:p>
        </w:tc>
      </w:tr>
      <w:tr>
        <w:tc>
          <w:tcPr>
            <w:tcW w:type="dxa" w:w="2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④ 測定脱落・未検出</w:t>
            </w:r>
          </w:p>
        </w:tc>
        <w:tc>
          <w:tcPr>
            <w:tcW w:type="dxa" w:w="20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2試行で完全脱落（0回固定）</w:t>
            </w:r>
          </w:p>
        </w:tc>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0件</w:t>
            </w:r>
          </w:p>
        </w:tc>
        <w:tc>
          <w:tcPr>
            <w:tcW w:type="dxa" w:w="20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検査やり直し不要</w:t>
            </w:r>
          </w:p>
        </w:tc>
      </w:tr>
    </w:tbl>
    <w:p>
      <w:pPr>
        <w:spacing w:after="120" w:line="320"/>
      </w:pPr>
      <w:r>
        <w:rPr>
          <w:rFonts w:ascii="Yu Gothic" w:cs="Yu Gothic" w:eastAsia="Yu Gothic" w:hAnsi="Yu Gothic"/>
          <w:color w:val="595959"/>
          <w:sz w:val="18"/>
          <w:szCs w:val="18"/>
        </w:rPr>
        <w:t xml:space="preserve">認識率＝機器計数値／真値。対照機の「完全脱落」は、発声があるにもかかわらず計数が0回のまま固定された試行。</w:t>
      </w:r>
    </w:p>
    <w:p>
      <w:pPr>
        <w:spacing w:after="100" w:before="200"/>
      </w:pPr>
      <w:r>
        <w:rPr>
          <w:rFonts w:ascii="Yu Gothic" w:cs="Yu Gothic" w:eastAsia="Yu Gothic" w:hAnsi="Yu Gothic"/>
          <w:b/>
          <w:bCs/>
          <w:color w:val="222222"/>
          <w:sz w:val="22"/>
          <w:szCs w:val="22"/>
        </w:rPr>
        <w:t xml:space="preserve">4.2 被験者A：統制発声試験（各音節30回）</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100"/>
        <w:gridCol w:w="1400"/>
        <w:gridCol w:w="1900"/>
        <w:gridCol w:w="1300"/>
      </w:tblGrid>
      <w:tr>
        <w:tc>
          <w:tcPr>
            <w:tcW w:type="dxa" w:w="11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left"/>
            </w:pPr>
            <w:r>
              <w:rPr>
                <w:rFonts w:ascii="Yu Gothic" w:cs="Yu Gothic" w:eastAsia="Yu Gothic" w:hAnsi="Yu Gothic"/>
                <w:b/>
                <w:bCs/>
                <w:color w:val="222222"/>
                <w:sz w:val="19"/>
                <w:szCs w:val="19"/>
              </w:rPr>
              <w:t xml:space="preserve">測定音</w:t>
            </w:r>
          </w:p>
        </w:tc>
        <w:tc>
          <w:tcPr>
            <w:tcW w:type="dxa" w:w="12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目標回数</w:t>
            </w:r>
          </w:p>
        </w:tc>
        <w:tc>
          <w:tcPr>
            <w:tcW w:type="dxa" w:w="21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対照機（回／認識率）</w:t>
            </w:r>
          </w:p>
        </w:tc>
        <w:tc>
          <w:tcPr>
            <w:tcW w:type="dxa" w:w="14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被験機（回）</w:t>
            </w:r>
          </w:p>
        </w:tc>
        <w:tc>
          <w:tcPr>
            <w:tcW w:type="dxa" w:w="19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被験機認識率</w:t>
            </w:r>
          </w:p>
        </w:tc>
        <w:tc>
          <w:tcPr>
            <w:tcW w:type="dxa" w:w="13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差分（pt）</w:t>
            </w:r>
          </w:p>
        </w:tc>
      </w:tr>
      <w:tr>
        <w:tc>
          <w:tcPr>
            <w:tcW w:type="dxa" w:w="1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パ</w:t>
            </w:r>
          </w:p>
        </w:tc>
        <w:tc>
          <w:tcPr>
            <w:tcW w:type="dxa" w:w="12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30</w:t>
            </w:r>
          </w:p>
        </w:tc>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30／100.0%</w:t>
            </w:r>
          </w:p>
        </w:tc>
        <w:tc>
          <w:tcPr>
            <w:tcW w:type="dxa" w:w="14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30</w:t>
            </w:r>
          </w:p>
        </w:tc>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100.0%</w:t>
            </w:r>
          </w:p>
        </w:tc>
        <w:tc>
          <w:tcPr>
            <w:tcW w:type="dxa" w:w="13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0.0</w:t>
            </w:r>
          </w:p>
        </w:tc>
      </w:tr>
      <w:tr>
        <w:tc>
          <w:tcPr>
            <w:tcW w:type="dxa" w:w="1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タ</w:t>
            </w:r>
          </w:p>
        </w:tc>
        <w:tc>
          <w:tcPr>
            <w:tcW w:type="dxa" w:w="12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30</w:t>
            </w:r>
          </w:p>
        </w:tc>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28／93.3%</w:t>
            </w:r>
          </w:p>
        </w:tc>
        <w:tc>
          <w:tcPr>
            <w:tcW w:type="dxa" w:w="14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30</w:t>
            </w:r>
          </w:p>
        </w:tc>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100.0%</w:t>
            </w:r>
          </w:p>
        </w:tc>
        <w:tc>
          <w:tcPr>
            <w:tcW w:type="dxa" w:w="13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+6.7</w:t>
            </w:r>
          </w:p>
        </w:tc>
      </w:tr>
      <w:tr>
        <w:tc>
          <w:tcPr>
            <w:tcW w:type="dxa" w:w="1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カ</w:t>
            </w:r>
          </w:p>
        </w:tc>
        <w:tc>
          <w:tcPr>
            <w:tcW w:type="dxa" w:w="12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30</w:t>
            </w:r>
          </w:p>
        </w:tc>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27／90.0%</w:t>
            </w:r>
          </w:p>
        </w:tc>
        <w:tc>
          <w:tcPr>
            <w:tcW w:type="dxa" w:w="14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30</w:t>
            </w:r>
          </w:p>
        </w:tc>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100.0%</w:t>
            </w:r>
          </w:p>
        </w:tc>
        <w:tc>
          <w:tcPr>
            <w:tcW w:type="dxa" w:w="13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+10.0</w:t>
            </w:r>
          </w:p>
        </w:tc>
      </w:tr>
      <w:tr>
        <w:tc>
          <w:tcPr>
            <w:tcW w:type="dxa" w:w="1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ラ</w:t>
            </w:r>
          </w:p>
        </w:tc>
        <w:tc>
          <w:tcPr>
            <w:tcW w:type="dxa" w:w="12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30</w:t>
            </w:r>
          </w:p>
        </w:tc>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18／60.0%</w:t>
            </w:r>
          </w:p>
        </w:tc>
        <w:tc>
          <w:tcPr>
            <w:tcW w:type="dxa" w:w="14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30</w:t>
            </w:r>
          </w:p>
        </w:tc>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100.0%</w:t>
            </w:r>
          </w:p>
        </w:tc>
        <w:tc>
          <w:tcPr>
            <w:tcW w:type="dxa" w:w="13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+40.0</w:t>
            </w:r>
          </w:p>
        </w:tc>
      </w:tr>
      <w:tr>
        <w:tc>
          <w:tcPr>
            <w:tcW w:type="dxa" w:w="1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bCs/>
                <w:color w:val="222222"/>
                <w:sz w:val="19"/>
                <w:szCs w:val="19"/>
              </w:rPr>
              <w:t xml:space="preserve">合計</w:t>
            </w:r>
          </w:p>
        </w:tc>
        <w:tc>
          <w:tcPr>
            <w:tcW w:type="dxa" w:w="12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120</w:t>
            </w:r>
          </w:p>
        </w:tc>
        <w:tc>
          <w:tcPr>
            <w:tcW w:type="dxa" w:w="21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103／85.8%</w:t>
            </w:r>
          </w:p>
        </w:tc>
        <w:tc>
          <w:tcPr>
            <w:tcW w:type="dxa" w:w="14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120</w:t>
            </w:r>
          </w:p>
        </w:tc>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100.0%</w:t>
            </w:r>
          </w:p>
        </w:tc>
        <w:tc>
          <w:tcPr>
            <w:tcW w:type="dxa" w:w="13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+14.2</w:t>
            </w:r>
          </w:p>
        </w:tc>
      </w:tr>
    </w:tbl>
    <w:p>
      <w:pPr>
        <w:spacing w:after="120" w:line="320"/>
      </w:pPr>
      <w:r>
        <w:rPr>
          <w:rFonts w:ascii="Yu Gothic" w:cs="Yu Gothic" w:eastAsia="Yu Gothic" w:hAnsi="Yu Gothic"/>
          <w:color w:val="222222"/>
          <w:sz w:val="21"/>
          <w:szCs w:val="21"/>
        </w:rPr>
        <w:t xml:space="preserve">被験機は全120発声を欠落なく計数した（真値と完全一致）。対照機は弾き音「ラ」で12回の取りこぼし（認識率60.0%）を生じた。また最速連続発声（高速追従）試験では、対照機112回に対し被験機223回を計数し、検出脱落は認められなかった。</w:t>
      </w:r>
    </w:p>
    <w:p>
      <w:pPr>
        <w:spacing w:after="100" w:before="200"/>
      </w:pPr>
      <w:r>
        <w:rPr>
          <w:rFonts w:ascii="Yu Gothic" w:cs="Yu Gothic" w:eastAsia="Yu Gothic" w:hAnsi="Yu Gothic"/>
          <w:b/>
          <w:bCs/>
          <w:color w:val="222222"/>
          <w:sz w:val="22"/>
          <w:szCs w:val="22"/>
        </w:rPr>
        <w:t xml:space="preserve">4.3 被験者B：最速連続発声試験（各音節3試行の平均）</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900"/>
        <w:gridCol w:w="1900"/>
        <w:gridCol w:w="1300"/>
        <w:gridCol w:w="1700"/>
      </w:tblGrid>
      <w:tr>
        <w:tc>
          <w:tcPr>
            <w:tcW w:type="dxa" w:w="9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left"/>
            </w:pPr>
            <w:r>
              <w:rPr>
                <w:rFonts w:ascii="Yu Gothic" w:cs="Yu Gothic" w:eastAsia="Yu Gothic" w:hAnsi="Yu Gothic"/>
                <w:b/>
                <w:bCs/>
                <w:color w:val="222222"/>
                <w:sz w:val="19"/>
                <w:szCs w:val="19"/>
              </w:rPr>
              <w:t xml:space="preserve">測定音</w:t>
            </w:r>
          </w:p>
        </w:tc>
        <w:tc>
          <w:tcPr>
            <w:tcW w:type="dxa" w:w="13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真値平均（回）</w:t>
            </w:r>
          </w:p>
        </w:tc>
        <w:tc>
          <w:tcPr>
            <w:tcW w:type="dxa" w:w="19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対照機 平均／認識率</w:t>
            </w:r>
          </w:p>
        </w:tc>
        <w:tc>
          <w:tcPr>
            <w:tcW w:type="dxa" w:w="19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被験機 平均／認識率</w:t>
            </w:r>
          </w:p>
        </w:tc>
        <w:tc>
          <w:tcPr>
            <w:tcW w:type="dxa" w:w="13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差分（pt）</w:t>
            </w:r>
          </w:p>
        </w:tc>
        <w:tc>
          <w:tcPr>
            <w:tcW w:type="dxa" w:w="1700"/>
            <w:tcBorders>
              <w:top w:val="single" w:color="9AA7B8" w:sz="4"/>
              <w:left w:val="single" w:color="9AA7B8" w:sz="4"/>
              <w:bottom w:val="single" w:color="9AA7B8" w:sz="4"/>
              <w:right w:val="single" w:color="9AA7B8" w:sz="4"/>
            </w:tcBorders>
            <w:shd w:fill="EAF0F7" w:val="clear"/>
            <w:tcMar>
              <w:top w:type="dxa" w:w="60"/>
              <w:left w:type="dxa" w:w="100"/>
              <w:bottom w:type="dxa" w:w="60"/>
              <w:right w:type="dxa" w:w="100"/>
            </w:tcMar>
          </w:tcPr>
          <w:p>
            <w:pPr>
              <w:jc w:val="center"/>
            </w:pPr>
            <w:r>
              <w:rPr>
                <w:rFonts w:ascii="Yu Gothic" w:cs="Yu Gothic" w:eastAsia="Yu Gothic" w:hAnsi="Yu Gothic"/>
                <w:b/>
                <w:bCs/>
                <w:color w:val="222222"/>
                <w:sz w:val="19"/>
                <w:szCs w:val="19"/>
              </w:rPr>
              <w:t xml:space="preserve">備考</w:t>
            </w:r>
          </w:p>
        </w:tc>
      </w:tr>
      <w:tr>
        <w:tc>
          <w:tcPr>
            <w:tcW w:type="dxa" w:w="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パ</w:t>
            </w:r>
          </w:p>
        </w:tc>
        <w:tc>
          <w:tcPr>
            <w:tcW w:type="dxa" w:w="13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38.7</w:t>
            </w:r>
          </w:p>
        </w:tc>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28.3／73.3%</w:t>
            </w:r>
          </w:p>
        </w:tc>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32.0／82.8%</w:t>
            </w:r>
          </w:p>
        </w:tc>
        <w:tc>
          <w:tcPr>
            <w:tcW w:type="dxa" w:w="13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+9.5</w:t>
            </w:r>
          </w:p>
        </w:tc>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双方安定（口唇破裂音）</w:t>
            </w:r>
          </w:p>
        </w:tc>
      </w:tr>
      <w:tr>
        <w:tc>
          <w:tcPr>
            <w:tcW w:type="dxa" w:w="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タ</w:t>
            </w:r>
          </w:p>
        </w:tc>
        <w:tc>
          <w:tcPr>
            <w:tcW w:type="dxa" w:w="13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39.3</w:t>
            </w:r>
          </w:p>
        </w:tc>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12.3／31.4%</w:t>
            </w:r>
          </w:p>
        </w:tc>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30.7／78.0%</w:t>
            </w:r>
          </w:p>
        </w:tc>
        <w:tc>
          <w:tcPr>
            <w:tcW w:type="dxa" w:w="13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+46.6</w:t>
            </w:r>
          </w:p>
        </w:tc>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対照機は舌尖音で欠損</w:t>
            </w:r>
          </w:p>
        </w:tc>
      </w:tr>
      <w:tr>
        <w:tc>
          <w:tcPr>
            <w:tcW w:type="dxa" w:w="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カ</w:t>
            </w:r>
          </w:p>
        </w:tc>
        <w:tc>
          <w:tcPr>
            <w:tcW w:type="dxa" w:w="13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37.3</w:t>
            </w:r>
          </w:p>
        </w:tc>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4.3／11.6%</w:t>
            </w:r>
          </w:p>
        </w:tc>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30.3／81.3%</w:t>
            </w:r>
          </w:p>
        </w:tc>
        <w:tc>
          <w:tcPr>
            <w:tcW w:type="dxa" w:w="13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+69.6</w:t>
            </w:r>
          </w:p>
        </w:tc>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対照機は未検出試行あり</w:t>
            </w:r>
          </w:p>
        </w:tc>
      </w:tr>
      <w:tr>
        <w:tc>
          <w:tcPr>
            <w:tcW w:type="dxa" w:w="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left"/>
            </w:pPr>
            <w:r>
              <w:rPr>
                <w:rFonts w:ascii="Yu Gothic" w:cs="Yu Gothic" w:eastAsia="Yu Gothic" w:hAnsi="Yu Gothic"/>
                <w:b w:val="false"/>
                <w:bCs w:val="false"/>
                <w:color w:val="222222"/>
                <w:sz w:val="19"/>
                <w:szCs w:val="19"/>
              </w:rPr>
              <w:t xml:space="preserve">ラ</w:t>
            </w:r>
          </w:p>
        </w:tc>
        <w:tc>
          <w:tcPr>
            <w:tcW w:type="dxa" w:w="13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36.3</w:t>
            </w:r>
          </w:p>
        </w:tc>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4.0／11.0%</w:t>
            </w:r>
          </w:p>
        </w:tc>
        <w:tc>
          <w:tcPr>
            <w:tcW w:type="dxa" w:w="19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26.3／72.5%</w:t>
            </w:r>
          </w:p>
        </w:tc>
        <w:tc>
          <w:tcPr>
            <w:tcW w:type="dxa" w:w="13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+61.5</w:t>
            </w:r>
          </w:p>
        </w:tc>
        <w:tc>
          <w:tcPr>
            <w:tcW w:type="dxa" w:w="1700"/>
            <w:tcBorders>
              <w:top w:val="single" w:color="9AA7B8" w:sz="4"/>
              <w:left w:val="single" w:color="9AA7B8" w:sz="4"/>
              <w:bottom w:val="single" w:color="9AA7B8" w:sz="4"/>
              <w:right w:val="single" w:color="9AA7B8" w:sz="4"/>
            </w:tcBorders>
            <w:tcMar>
              <w:top w:type="dxa" w:w="60"/>
              <w:left w:type="dxa" w:w="100"/>
              <w:bottom w:type="dxa" w:w="60"/>
              <w:right w:type="dxa" w:w="100"/>
            </w:tcMar>
          </w:tcPr>
          <w:p>
            <w:pPr>
              <w:jc w:val="center"/>
            </w:pPr>
            <w:r>
              <w:rPr>
                <w:rFonts w:ascii="Yu Gothic" w:cs="Yu Gothic" w:eastAsia="Yu Gothic" w:hAnsi="Yu Gothic"/>
                <w:b w:val="false"/>
                <w:bCs w:val="false"/>
                <w:color w:val="222222"/>
                <w:sz w:val="19"/>
                <w:szCs w:val="19"/>
              </w:rPr>
              <w:t xml:space="preserve">対照機は感度不足</w:t>
            </w:r>
          </w:p>
        </w:tc>
      </w:tr>
    </w:tbl>
    <w:p>
      <w:pPr>
        <w:spacing w:after="120" w:line="320"/>
      </w:pPr>
      <w:r>
        <w:rPr>
          <w:rFonts w:ascii="Yu Gothic" w:cs="Yu Gothic" w:eastAsia="Yu Gothic" w:hAnsi="Yu Gothic"/>
          <w:color w:val="222222"/>
          <w:sz w:val="21"/>
          <w:szCs w:val="21"/>
        </w:rPr>
        <w:t xml:space="preserve">最速発声条件では、対照機は口唇破裂音「パ」以外の音節（タ・カ・ラ）で認識率が11〜31%まで低下した。被験機は全音節で72〜83%の認識率を維持した。</w:t>
      </w:r>
    </w:p>
    <w:p>
      <w:pPr>
        <w:spacing w:after="160" w:before="320"/>
        <w:outlineLvl w:val="0"/>
      </w:pPr>
      <w:r>
        <w:rPr>
          <w:rFonts w:ascii="Yu Gothic" w:cs="Yu Gothic" w:eastAsia="Yu Gothic" w:hAnsi="Yu Gothic"/>
          <w:b/>
          <w:bCs/>
          <w:color w:val="22456E"/>
          <w:sz w:val="26"/>
          <w:szCs w:val="26"/>
        </w:rPr>
        <w:t xml:space="preserve">5. 考察</w:t>
      </w:r>
    </w:p>
    <w:p>
      <w:pPr>
        <w:spacing w:after="120" w:line="320"/>
      </w:pPr>
      <w:r>
        <w:rPr>
          <w:rFonts w:ascii="Yu Gothic" w:cs="Yu Gothic" w:eastAsia="Yu Gothic" w:hAnsi="Yu Gothic"/>
          <w:color w:val="222222"/>
          <w:sz w:val="21"/>
          <w:szCs w:val="21"/>
        </w:rPr>
        <w:t xml:space="preserve">対照機（音響カウント方式）は、音圧の立ち上がりが明瞭な「パ」では良好に計数できる一方、舌尖音・軟口蓋音・弾き音（タ・カ・ラ）の高速連続発声では音響的な分離が困難となり、計数値が真値を大幅に下回った。また環境音・拍手にも誤反応し（143イベント中97回）、静音環境以外での測定に制約がある。</w:t>
      </w:r>
    </w:p>
    <w:p>
      <w:pPr>
        <w:spacing w:after="120" w:line="320"/>
      </w:pPr>
      <w:r>
        <w:rPr>
          <w:rFonts w:ascii="Yu Gothic" w:cs="Yu Gothic" w:eastAsia="Yu Gothic" w:hAnsi="Yu Gothic"/>
          <w:color w:val="222222"/>
          <w:sz w:val="21"/>
          <w:szCs w:val="21"/>
        </w:rPr>
        <w:t xml:space="preserve">被験機は、連続発声された単音節語を1発声単位で認識する独自開発の音声認識モデル（言語モデル）により音節そのものを識別して計数するため、全音節・全条件で対照機を上回る認識率を示し、環境音への誤反応も5回にとどまった。本結果は、様式1指定要件2に記載した「検査精度が既存手法と同等以上」の主張と整合する予備的根拠を与えるものである。</w:t>
      </w:r>
    </w:p>
    <w:p>
      <w:pPr>
        <w:spacing w:after="120" w:line="320"/>
      </w:pPr>
      <w:r>
        <w:rPr>
          <w:rFonts w:ascii="Yu Gothic" w:cs="Yu Gothic" w:eastAsia="Yu Gothic" w:hAnsi="Yu Gothic"/>
          <w:color w:val="222222"/>
          <w:sz w:val="21"/>
          <w:szCs w:val="21"/>
        </w:rPr>
        <w:t xml:space="preserve">なお、ODKの臨床判定（口腔機能低下症精密検査：6回/秒基準）の観点では、対照機の計数値の過小評価は機能低下の過大判定（偽陽性）につながり得るのに対し、被験機は真値に近い計数値を与えることから、判定の正確性向上が期待される。</w:t>
      </w:r>
    </w:p>
    <w:p>
      <w:pPr>
        <w:spacing w:after="160" w:before="320"/>
        <w:outlineLvl w:val="0"/>
      </w:pPr>
      <w:r>
        <w:rPr>
          <w:rFonts w:ascii="Yu Gothic" w:cs="Yu Gothic" w:eastAsia="Yu Gothic" w:hAnsi="Yu Gothic"/>
          <w:b/>
          <w:bCs/>
          <w:color w:val="22456E"/>
          <w:sz w:val="26"/>
          <w:szCs w:val="26"/>
        </w:rPr>
        <w:t xml:space="preserve">6. 本検証の限界と位置づけ</w:t>
      </w:r>
    </w:p>
    <w:p>
      <w:pPr>
        <w:spacing w:after="120" w:line="320"/>
      </w:pPr>
      <w:r>
        <w:rPr>
          <w:rFonts w:ascii="Yu Gothic" w:cs="Yu Gothic" w:eastAsia="Yu Gothic" w:hAnsi="Yu Gothic"/>
          <w:color w:val="222222"/>
          <w:sz w:val="21"/>
          <w:szCs w:val="21"/>
        </w:rPr>
        <w:t xml:space="preserve">本検証は次の限界を有する社内予備検証であり、結果の解釈はその範囲にとどめる。</w:t>
      </w:r>
    </w:p>
    <w:p>
      <w:pPr>
        <w:spacing w:after="120" w:line="320"/>
      </w:pPr>
      <w:r>
        <w:rPr>
          <w:rFonts w:ascii="Yu Gothic" w:cs="Yu Gothic" w:eastAsia="Yu Gothic" w:hAnsi="Yu Gothic"/>
          <w:color w:val="222222"/>
          <w:sz w:val="21"/>
          <w:szCs w:val="21"/>
        </w:rPr>
        <w:t xml:space="preserve">・被験者が社内職員の健常成人2名であり、高齢者（口腔機能低下症の対象集団）・小児（口腔機能発達不全症の対象集団）、および判定基準値（6回/秒）近傍の低値域を含まない。</w:t>
      </w:r>
    </w:p>
    <w:p>
      <w:pPr>
        <w:spacing w:after="120" w:line="320"/>
      </w:pPr>
      <w:r>
        <w:rPr>
          <w:rFonts w:ascii="Yu Gothic" w:cs="Yu Gothic" w:eastAsia="Yu Gothic" w:hAnsi="Yu Gothic"/>
          <w:color w:val="222222"/>
          <w:sz w:val="21"/>
          <w:szCs w:val="21"/>
        </w:rPr>
        <w:t xml:space="preserve">・プロトコル・合格基準の事前固定、倫理審査、第三者性を伴わない社内実施である。</w:t>
      </w:r>
    </w:p>
    <w:p>
      <w:pPr>
        <w:spacing w:after="120" w:line="320"/>
      </w:pPr>
      <w:r>
        <w:rPr>
          <w:rFonts w:ascii="Yu Gothic" w:cs="Yu Gothic" w:eastAsia="Yu Gothic" w:hAnsi="Yu Gothic"/>
          <w:color w:val="222222"/>
          <w:sz w:val="21"/>
          <w:szCs w:val="21"/>
        </w:rPr>
        <w:t xml:space="preserve">・対照機の型式・校正状態、被験機のバージョン、真値確定手順の文書化が完了していない。</w:t>
      </w:r>
    </w:p>
    <w:p>
      <w:pPr>
        <w:spacing w:after="120" w:line="320"/>
      </w:pPr>
      <w:r>
        <w:rPr>
          <w:rFonts w:ascii="Yu Gothic" w:cs="Yu Gothic" w:eastAsia="Yu Gothic" w:hAnsi="Yu Gothic"/>
          <w:color w:val="222222"/>
          <w:sz w:val="21"/>
          <w:szCs w:val="21"/>
        </w:rPr>
        <w:t xml:space="preserve">したがって本結果は、検証的な性能試験（計画書：docs/regulatory/14 参照。高齢者・小児を含む3群約90名、真値の盲検下人手カウント、事前固定した合格基準による試験）を実施する根拠となる予備データ（パイロット試験成績）として位置づける。</w:t>
      </w:r>
    </w:p>
    <w:p>
      <w:pPr>
        <w:spacing w:after="160" w:before="320"/>
        <w:outlineLvl w:val="0"/>
      </w:pPr>
      <w:r>
        <w:rPr>
          <w:rFonts w:ascii="Yu Gothic" w:cs="Yu Gothic" w:eastAsia="Yu Gothic" w:hAnsi="Yu Gothic"/>
          <w:b/>
          <w:bCs/>
          <w:color w:val="22456E"/>
          <w:sz w:val="26"/>
          <w:szCs w:val="26"/>
        </w:rPr>
        <w:t xml:space="preserve">7. 記録・添付</w:t>
      </w:r>
    </w:p>
    <w:p>
      <w:pPr>
        <w:spacing w:after="120" w:line="320"/>
      </w:pPr>
      <w:r>
        <w:rPr>
          <w:rFonts w:ascii="Yu Gothic" w:cs="Yu Gothic" w:eastAsia="Yu Gothic" w:hAnsi="Yu Gothic"/>
          <w:color w:val="222222"/>
          <w:sz w:val="21"/>
          <w:szCs w:val="21"/>
        </w:rPr>
        <w:t xml:space="preserve">・元データ：社内スプレッドシート「PaTaKaRUSH・健口くん比較」（総合ダッシュボード／被験者別シート）</w:t>
      </w:r>
    </w:p>
    <w:p>
      <w:pPr>
        <w:spacing w:after="120" w:line="320"/>
      </w:pPr>
      <w:r>
        <w:rPr>
          <w:rFonts w:ascii="Yu Gothic" w:cs="Yu Gothic" w:eastAsia="Yu Gothic" w:hAnsi="Yu Gothic"/>
          <w:color w:val="222222"/>
          <w:sz w:val="21"/>
          <w:szCs w:val="21"/>
        </w:rPr>
        <w:t xml:space="preserve">・試験実施日：〔要記入〕　実施場所：〔要記入〕　実施者：〔要記入〕</w:t>
      </w:r>
    </w:p>
    <w:p>
      <w:pPr>
        <w:spacing w:after="120" w:line="320"/>
      </w:pPr>
      <w:r>
        <w:rPr>
          <w:rFonts w:ascii="Yu Gothic" w:cs="Yu Gothic" w:eastAsia="Yu Gothic" w:hAnsi="Yu Gothic"/>
          <w:color w:val="222222"/>
          <w:sz w:val="21"/>
          <w:szCs w:val="21"/>
        </w:rPr>
        <w:t xml:space="preserve">・録音データ・機器ログの保管場所：〔要記入〕</w:t>
      </w:r>
    </w:p>
    <w:sectPr>
      <w:pgSz w:w="11906" w:h="16838" w:orient="portrait"/>
      <w:pgMar w:top="13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2026-10-31T10:15:11.144Z</dcterms:created>
  <dcterms:modified xsi:type="dcterms:W3CDTF">2026-10-31T10:15:11.144Z</dcterms:modified>
</cp:coreProperties>
</file>

<file path=docProps/custom.xml><?xml version="1.0" encoding="utf-8"?>
<Properties xmlns="http://schemas.openxmlformats.org/officeDocument/2006/custom-properties" xmlns:vt="http://schemas.openxmlformats.org/officeDocument/2006/docPropsVTypes"/>
</file>