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dataset we are examining shows Houston Police Department officer-involved shootings from 2005 to 2020. There are 747 shooting incidents listed in the table.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row in the table is one shooting incident. Each column in the table tells us about the incident, the suspect, and the officer(s) involved. For each suspect, we are told their sex (male, female), their race (Hispanic, Black, White, Asian), their age, whether they were injured (wounded, killed, none), and whether they had a weapon (firearm, knife, other, none). For each officer, we are told their sex, their race, their age, whether they were injured, whether they were on duty (yes, no), what type of response it was (emergency call, traffic stop, warrant, other), and the number of officers involved. Additionally, for each incident, we are told the date, the incident number, and the location (address), and we are provided with a short synopsis of the incident.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example, the 3rd row in the table describes an officer-involved shooting that occurred on May 25, 2020, at 6500 Capridge Dr., which is in the Minnetex area near Sunnyside, Houston. The suspect was a Hispanic male (unknown age) with a firearm, and he was killed during the shooting. There were 3 officers involved—a 31-year-old Hispanic male, a 26-year-old White male, and a 39-year-old White male—and they were on duty, responding to an emergency call.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incident synopsis reads: “Officers were dispatched to a suicide threat with a weapon. A female caller reported that her husband had a gun, was highly emotional, and just discharged the weapon. Upon officers’ arrival, they observed the suspect walking with a handgun in his right hand. Officers ordered him numerous times to drop the gun and surrender, but he ignored these commands and fired a round into the ground. Moments later, the suspect turned and raised the handgun towards officers. Fearing for their lives, and the lives of those around them, several officers fired their duty weapons striking the suspect multiple times. The suspect was pronounced dead at the scene.”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