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pPr>
      <w:r>
        <w:rPr>
          <w:b/>
          <w:color w:val="1E3A8A"/>
          <w:sz w:val="48"/>
        </w:rPr>
        <w:t>RAPPORT BUSINESS INTELLIGENCE</w:t>
      </w:r>
    </w:p>
    <w:p>
      <w:pPr>
        <w:pStyle w:val="Normal"/>
        <w:rPr/>
      </w:pPr>
      <w:r>
        <w:rPr/>
      </w:r>
    </w:p>
    <w:p>
      <w:pPr>
        <w:pStyle w:val="Normal"/>
        <w:jc w:val="center"/>
        <w:rPr/>
      </w:pPr>
      <w:r>
        <w:rPr>
          <w:color w:val="0E7490"/>
          <w:sz w:val="32"/>
        </w:rPr>
        <w:t>Système d'Information Médical — E-Sitrana</w:t>
      </w:r>
    </w:p>
    <w:p>
      <w:pPr>
        <w:pStyle w:val="Normal"/>
        <w:rPr/>
      </w:pPr>
      <w:r>
        <w:rPr/>
      </w:r>
    </w:p>
    <w:p>
      <w:pPr>
        <w:pStyle w:val="Normal"/>
        <w:jc w:val="center"/>
        <w:rPr/>
      </w:pPr>
      <w:r>
        <w:rPr>
          <w:color w:val="64748B"/>
          <w:sz w:val="22"/>
        </w:rPr>
        <w:t>Date d'analyse : 01 mai 2026 | Généré le 13/05/2026</w:t>
      </w:r>
    </w:p>
    <w:p>
      <w:pPr>
        <w:pStyle w:val="Normal"/>
        <w:rPr/>
      </w:pPr>
      <w:r>
        <w:rPr/>
      </w:r>
      <w:r>
        <w:br w:type="page"/>
      </w:r>
    </w:p>
    <w:p>
      <w:pPr>
        <w:pStyle w:val="Titre1"/>
        <w:rPr/>
      </w:pPr>
      <w:r>
        <w:rPr>
          <w:color w:val="1E3A8A"/>
        </w:rPr>
        <w:t xml:space="preserve">1. Introduction et </w:t>
      </w:r>
      <w:r>
        <w:rPr>
          <w:color w:val="1E3A8A"/>
        </w:rPr>
        <w:t>c</w:t>
      </w:r>
      <w:r>
        <w:rPr>
          <w:color w:val="1E3A8A"/>
        </w:rPr>
        <w:t>ontexte</w:t>
      </w:r>
    </w:p>
    <w:p>
      <w:pPr>
        <w:pStyle w:val="Normal"/>
        <w:rPr/>
      </w:pPr>
      <w:r>
        <w:rPr>
          <w:b w:val="false"/>
          <w:i w:val="false"/>
          <w:sz w:val="22"/>
        </w:rPr>
        <w:t>E-Sitrana est un système d'information médical centralisé destiné à la gestion des rendez-vous médicaux, des patients et du personnel soignant. Dans le cadre de l'évolution vers une gestion basée sur les données, la mise en place d'une solution de Business Intelligence (BI) permet de transformer les données opérationnelles en informations décisionnelles exploitables.</w:t>
      </w:r>
    </w:p>
    <w:p>
      <w:pPr>
        <w:pStyle w:val="Normal"/>
        <w:rPr/>
      </w:pPr>
      <w:r>
        <w:rPr/>
      </w:r>
    </w:p>
    <w:p>
      <w:pPr>
        <w:pStyle w:val="Normal"/>
        <w:rPr/>
      </w:pPr>
      <w:r>
        <w:rPr>
          <w:b w:val="false"/>
          <w:i w:val="false"/>
          <w:sz w:val="22"/>
        </w:rPr>
        <w:t>Ce rapport présente l'ensemble du processus BI, depuis la conception du Data Warehouse jusqu'aux indicateurs de performance, en passant par le processus ETL (Extract, Transform, Load). Les analyses portent sur les données extraites au 01/05/2026.</w:t>
      </w:r>
    </w:p>
    <w:p>
      <w:pPr>
        <w:pStyle w:val="Normal"/>
        <w:rPr/>
      </w:pPr>
      <w:r>
        <w:rPr/>
      </w:r>
    </w:p>
    <w:p>
      <w:pPr>
        <w:pStyle w:val="Titre1"/>
        <w:rPr/>
      </w:pPr>
      <w:r>
        <w:rPr>
          <w:color w:val="1E3A8A"/>
        </w:rPr>
        <w:t xml:space="preserve">2. Architecture du </w:t>
      </w:r>
      <w:r>
        <w:rPr>
          <w:color w:val="1E3A8A"/>
        </w:rPr>
        <w:t>d</w:t>
      </w:r>
      <w:r>
        <w:rPr>
          <w:color w:val="1E3A8A"/>
        </w:rPr>
        <w:t xml:space="preserve">ata </w:t>
      </w:r>
      <w:r>
        <w:rPr>
          <w:color w:val="1E3A8A"/>
        </w:rPr>
        <w:t>w</w:t>
      </w:r>
      <w:r>
        <w:rPr>
          <w:color w:val="1E3A8A"/>
        </w:rPr>
        <w:t>arehouse</w:t>
      </w:r>
    </w:p>
    <w:p>
      <w:pPr>
        <w:pStyle w:val="Titre2"/>
        <w:rPr/>
      </w:pPr>
      <w:r>
        <w:rPr>
          <w:color w:val="1E3A8A"/>
        </w:rPr>
        <w:t>2.1 Modélisation en Étoile (Star Schema)</w:t>
      </w:r>
    </w:p>
    <w:p>
      <w:pPr>
        <w:pStyle w:val="Normal"/>
        <w:rPr/>
      </w:pPr>
      <w:r>
        <w:rPr>
          <w:b w:val="false"/>
          <w:i w:val="false"/>
          <w:sz w:val="22"/>
        </w:rPr>
        <w:t>Le Data Warehouse adopte une modélisation en étoile, optimisée pour les requêtes analytiques OLAP. Cette architecture se compose d'une table centrale de faits reliée à plusieurs tables de dimensions.</w:t>
      </w:r>
    </w:p>
    <w:p>
      <w:pPr>
        <w:pStyle w:val="Normal"/>
        <w:rPr/>
      </w:pPr>
      <w:r>
        <w:rPr/>
      </w:r>
    </w:p>
    <w:p>
      <w:pPr>
        <w:pStyle w:val="Normal"/>
        <w:rPr/>
      </w:pPr>
      <w:r>
        <w:rPr>
          <w:b/>
          <w:i w:val="false"/>
          <w:sz w:val="22"/>
        </w:rPr>
        <w:t>Table centrale des faits :</w:t>
      </w:r>
    </w:p>
    <w:p>
      <w:pPr>
        <w:pStyle w:val="Normal"/>
        <w:ind w:left="432" w:hanging="0"/>
        <w:rPr/>
      </w:pPr>
      <w:r>
        <w:rPr>
          <w:b w:val="false"/>
          <w:i w:val="false"/>
          <w:sz w:val="22"/>
        </w:rPr>
        <w:t xml:space="preserve">• </w:t>
      </w:r>
      <w:r>
        <w:rPr>
          <w:b w:val="false"/>
          <w:i w:val="false"/>
          <w:sz w:val="22"/>
        </w:rPr>
        <w:t>Fait_RendezVous : Enregistre chaque rendez-vous médical. Contient les clés étrangères vers toutes les dimensions ainsi que les mesures : nb_rendez_vous, est_terminé, est_en_suivi, est_en_attente.</w:t>
      </w:r>
    </w:p>
    <w:p>
      <w:pPr>
        <w:pStyle w:val="Normal"/>
        <w:rPr/>
      </w:pPr>
      <w:r>
        <w:rPr/>
      </w:r>
    </w:p>
    <w:p>
      <w:pPr>
        <w:pStyle w:val="Normal"/>
        <w:rPr/>
      </w:pPr>
      <w:r>
        <w:rPr>
          <w:b/>
          <w:i w:val="false"/>
          <w:sz w:val="22"/>
        </w:rPr>
        <w:t>Tables de dimensions :</w:t>
      </w:r>
    </w:p>
    <w:p>
      <w:pPr>
        <w:pStyle w:val="Normal"/>
        <w:ind w:left="432" w:hanging="0"/>
        <w:rPr/>
      </w:pPr>
      <w:r>
        <w:rPr>
          <w:b w:val="false"/>
          <w:i w:val="false"/>
          <w:sz w:val="22"/>
        </w:rPr>
        <w:t xml:space="preserve">• </w:t>
      </w:r>
      <w:r>
        <w:rPr>
          <w:b w:val="false"/>
          <w:i w:val="false"/>
          <w:sz w:val="22"/>
        </w:rPr>
        <w:t>Dim_Temps : Hiérarchie temporelle complète : Année → Trimestre → Mois → Semaine → Jour → Jour de la semaine</w:t>
      </w:r>
    </w:p>
    <w:p>
      <w:pPr>
        <w:pStyle w:val="Normal"/>
        <w:ind w:left="432" w:hanging="0"/>
        <w:rPr/>
      </w:pPr>
      <w:r>
        <w:rPr>
          <w:b w:val="false"/>
          <w:i w:val="false"/>
          <w:sz w:val="22"/>
        </w:rPr>
        <w:t xml:space="preserve">• </w:t>
      </w:r>
      <w:r>
        <w:rPr>
          <w:b w:val="false"/>
          <w:i w:val="false"/>
          <w:sz w:val="22"/>
        </w:rPr>
        <w:t>Dim_Patient : Informations sur les patients : identité, date de naissance, âge calculé, localisation géographique</w:t>
      </w:r>
    </w:p>
    <w:p>
      <w:pPr>
        <w:pStyle w:val="Normal"/>
        <w:ind w:left="432" w:hanging="0"/>
        <w:rPr/>
      </w:pPr>
      <w:r>
        <w:rPr>
          <w:b w:val="false"/>
          <w:i w:val="false"/>
          <w:sz w:val="22"/>
        </w:rPr>
        <w:t xml:space="preserve">• </w:t>
      </w:r>
      <w:r>
        <w:rPr>
          <w:b w:val="false"/>
          <w:i w:val="false"/>
          <w:sz w:val="22"/>
        </w:rPr>
        <w:t>Dim_Medecin : Informations sur les médecins : spécialité, coordonnées</w:t>
      </w:r>
    </w:p>
    <w:p>
      <w:pPr>
        <w:pStyle w:val="Normal"/>
        <w:ind w:left="432" w:hanging="0"/>
        <w:rPr/>
      </w:pPr>
      <w:r>
        <w:rPr>
          <w:b w:val="false"/>
          <w:i w:val="false"/>
          <w:sz w:val="22"/>
        </w:rPr>
        <w:t xml:space="preserve">• </w:t>
      </w:r>
      <w:r>
        <w:rPr>
          <w:b w:val="false"/>
          <w:i w:val="false"/>
          <w:sz w:val="22"/>
        </w:rPr>
        <w:t>Dim_Service : Catalogue des services médicaux disponibles et leur description</w:t>
      </w:r>
    </w:p>
    <w:p>
      <w:pPr>
        <w:pStyle w:val="Normal"/>
        <w:rPr/>
      </w:pPr>
      <w:r>
        <w:rPr/>
      </w:r>
    </w:p>
    <w:p>
      <w:pPr>
        <w:pStyle w:val="Titre1"/>
        <w:rPr/>
      </w:pPr>
      <w:r>
        <w:rPr>
          <w:color w:val="1E3A8A"/>
        </w:rPr>
        <w:t>3. Processus ETL</w:t>
      </w:r>
    </w:p>
    <w:p>
      <w:pPr>
        <w:pStyle w:val="Titre2"/>
        <w:rPr/>
      </w:pPr>
      <w:r>
        <w:rPr>
          <w:color w:val="1E3A8A"/>
        </w:rPr>
        <w:t>3.1 Extraction</w:t>
      </w:r>
    </w:p>
    <w:p>
      <w:pPr>
        <w:pStyle w:val="Normal"/>
        <w:rPr/>
      </w:pPr>
      <w:r>
        <w:rPr>
          <w:b w:val="false"/>
          <w:i w:val="false"/>
          <w:sz w:val="22"/>
        </w:rPr>
        <w:t>Les données sources sont issues de deux fichiers CSV générés par l'ERP E-Sitrana :</w:t>
      </w:r>
    </w:p>
    <w:p>
      <w:pPr>
        <w:pStyle w:val="Normal"/>
        <w:ind w:left="432" w:hanging="0"/>
        <w:rPr/>
      </w:pPr>
      <w:r>
        <w:rPr>
          <w:b w:val="false"/>
          <w:i w:val="false"/>
          <w:sz w:val="22"/>
        </w:rPr>
        <w:t xml:space="preserve">• </w:t>
      </w:r>
      <w:r>
        <w:rPr>
          <w:b w:val="false"/>
          <w:i w:val="false"/>
          <w:sz w:val="22"/>
        </w:rPr>
        <w:t>esitrana_export_2026-05-01.csv : Export multi-sections contenant Rendez-Vous, Patients, Médecins et Services</w:t>
      </w:r>
    </w:p>
    <w:p>
      <w:pPr>
        <w:pStyle w:val="Normal"/>
        <w:ind w:left="432" w:hanging="0"/>
        <w:rPr/>
      </w:pPr>
      <w:r>
        <w:rPr>
          <w:b w:val="false"/>
          <w:i w:val="false"/>
          <w:sz w:val="22"/>
        </w:rPr>
        <w:t xml:space="preserve">• </w:t>
      </w:r>
      <w:r>
        <w:rPr>
          <w:b w:val="false"/>
          <w:i w:val="false"/>
          <w:sz w:val="22"/>
        </w:rPr>
        <w:t>rendez_vous_esitrana.csv : Vue complémentaire des rendez-vous avec dates en format littéral</w:t>
      </w:r>
    </w:p>
    <w:p>
      <w:pPr>
        <w:pStyle w:val="Titre2"/>
        <w:rPr/>
      </w:pPr>
      <w:r>
        <w:rPr>
          <w:color w:val="1E3A8A"/>
        </w:rPr>
        <w:t>3.2 Transformation</w:t>
      </w:r>
    </w:p>
    <w:p>
      <w:pPr>
        <w:pStyle w:val="Normal"/>
        <w:ind w:left="432" w:hanging="0"/>
        <w:rPr/>
      </w:pPr>
      <w:r>
        <w:rPr>
          <w:b w:val="false"/>
          <w:i w:val="false"/>
          <w:sz w:val="22"/>
        </w:rPr>
        <w:t xml:space="preserve">• </w:t>
      </w:r>
      <w:r>
        <w:rPr>
          <w:b w:val="false"/>
          <w:i w:val="false"/>
          <w:sz w:val="22"/>
        </w:rPr>
        <w:t>Correction de l'encodage caractères (latin-1 → UTF-8) pour les caractères accentués</w:t>
      </w:r>
    </w:p>
    <w:p>
      <w:pPr>
        <w:pStyle w:val="Normal"/>
        <w:ind w:left="432" w:hanging="0"/>
        <w:rPr/>
      </w:pPr>
      <w:r>
        <w:rPr>
          <w:b w:val="false"/>
          <w:i w:val="false"/>
          <w:sz w:val="22"/>
        </w:rPr>
        <w:t xml:space="preserve">• </w:t>
      </w:r>
      <w:r>
        <w:rPr>
          <w:b w:val="false"/>
          <w:i w:val="false"/>
          <w:sz w:val="22"/>
        </w:rPr>
        <w:t>Parsing du fichier multi-sections par détection des en-têtes textuels</w:t>
      </w:r>
    </w:p>
    <w:p>
      <w:pPr>
        <w:pStyle w:val="Normal"/>
        <w:ind w:left="432" w:hanging="0"/>
        <w:rPr/>
      </w:pPr>
      <w:r>
        <w:rPr>
          <w:b w:val="false"/>
          <w:i w:val="false"/>
          <w:sz w:val="22"/>
        </w:rPr>
        <w:t xml:space="preserve">• </w:t>
      </w:r>
      <w:r>
        <w:rPr>
          <w:b w:val="false"/>
          <w:i w:val="false"/>
          <w:sz w:val="22"/>
        </w:rPr>
        <w:t>Conversion des colonnes de dates en type datetime</w:t>
      </w:r>
    </w:p>
    <w:p>
      <w:pPr>
        <w:pStyle w:val="Normal"/>
        <w:ind w:left="432" w:hanging="0"/>
        <w:rPr/>
      </w:pPr>
      <w:r>
        <w:rPr>
          <w:b w:val="false"/>
          <w:i w:val="false"/>
          <w:sz w:val="22"/>
        </w:rPr>
        <w:t xml:space="preserve">• </w:t>
      </w:r>
      <w:r>
        <w:rPr>
          <w:b w:val="false"/>
          <w:i w:val="false"/>
          <w:sz w:val="22"/>
        </w:rPr>
        <w:t>Génération de la dimension Dim_Temps avec calcul de la semaine ISO, trimestre et libellé du mois</w:t>
      </w:r>
    </w:p>
    <w:p>
      <w:pPr>
        <w:pStyle w:val="Normal"/>
        <w:ind w:left="432" w:hanging="0"/>
        <w:rPr/>
      </w:pPr>
      <w:r>
        <w:rPr>
          <w:b w:val="false"/>
          <w:i w:val="false"/>
          <w:sz w:val="22"/>
        </w:rPr>
        <w:t xml:space="preserve">• </w:t>
      </w:r>
      <w:r>
        <w:rPr>
          <w:b w:val="false"/>
          <w:i w:val="false"/>
          <w:sz w:val="22"/>
        </w:rPr>
        <w:t>Calcul de l'âge des patients à partir de leur date de naissance</w:t>
      </w:r>
    </w:p>
    <w:p>
      <w:pPr>
        <w:pStyle w:val="Normal"/>
        <w:ind w:left="432" w:hanging="0"/>
        <w:rPr/>
      </w:pPr>
      <w:r>
        <w:rPr>
          <w:b w:val="false"/>
          <w:i w:val="false"/>
          <w:sz w:val="22"/>
        </w:rPr>
        <w:t xml:space="preserve">• </w:t>
      </w:r>
      <w:r>
        <w:rPr>
          <w:b w:val="false"/>
          <w:i w:val="false"/>
          <w:sz w:val="22"/>
        </w:rPr>
        <w:t>Création des mesures booléennes (est_terminé, est_en_suivi, est_en_attente) dans la table de faits</w:t>
      </w:r>
    </w:p>
    <w:p>
      <w:pPr>
        <w:pStyle w:val="Normal"/>
        <w:ind w:left="432" w:hanging="0"/>
        <w:rPr/>
      </w:pPr>
      <w:r>
        <w:rPr>
          <w:b w:val="false"/>
          <w:i w:val="false"/>
          <w:sz w:val="22"/>
        </w:rPr>
        <w:t xml:space="preserve">• </w:t>
      </w:r>
      <w:r>
        <w:rPr>
          <w:b w:val="false"/>
          <w:i w:val="false"/>
          <w:sz w:val="22"/>
        </w:rPr>
        <w:t>Normalisation des statuts (suppression des variantes d'encodage)</w:t>
      </w:r>
    </w:p>
    <w:p>
      <w:pPr>
        <w:pStyle w:val="Titre2"/>
        <w:rPr/>
      </w:pPr>
      <w:r>
        <w:rPr>
          <w:color w:val="1E3A8A"/>
        </w:rPr>
        <w:t>3.3 Chargement</w:t>
      </w:r>
    </w:p>
    <w:p>
      <w:pPr>
        <w:pStyle w:val="Normal"/>
        <w:rPr/>
      </w:pPr>
      <w:r>
        <w:rPr>
          <w:b w:val="false"/>
          <w:i w:val="false"/>
          <w:sz w:val="22"/>
        </w:rPr>
        <w:t>Les tables résultantes sont exportées en format CSV structuré (dw_fait_rendez_vous.csv, dw_dim_*.csv) et chargées dans l'environnement d'analyse. Dans un contexte de production, ces tables seraient chargées dans un SGBD relationnel (PostgreSQL, MySQL) dédié au Data Warehouse.</w:t>
      </w:r>
    </w:p>
    <w:p>
      <w:pPr>
        <w:pStyle w:val="Normal"/>
        <w:rPr/>
      </w:pPr>
      <w:r>
        <w:rPr/>
      </w:r>
    </w:p>
    <w:p>
      <w:pPr>
        <w:pStyle w:val="Titre1"/>
        <w:rPr/>
      </w:pPr>
      <w:r>
        <w:rPr>
          <w:color w:val="1E3A8A"/>
        </w:rPr>
        <w:t xml:space="preserve">4. Indicateurs </w:t>
      </w:r>
      <w:r>
        <w:rPr>
          <w:color w:val="1E3A8A"/>
        </w:rPr>
        <w:t>c</w:t>
      </w:r>
      <w:r>
        <w:rPr>
          <w:color w:val="1E3A8A"/>
        </w:rPr>
        <w:t xml:space="preserve">lés de </w:t>
      </w:r>
      <w:r>
        <w:rPr>
          <w:color w:val="1E3A8A"/>
        </w:rPr>
        <w:t>p</w:t>
      </w:r>
      <w:r>
        <w:rPr>
          <w:color w:val="1E3A8A"/>
        </w:rPr>
        <w:t>erformance (KPIs)</w:t>
      </w:r>
    </w:p>
    <w:p>
      <w:pPr>
        <w:pStyle w:val="Titre2"/>
        <w:rPr/>
      </w:pPr>
      <w:r>
        <w:rPr>
          <w:color w:val="1E3A8A"/>
        </w:rPr>
        <w:t>4.1 Vue d'ensemble</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1E3A8A"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Indicateur</w:t>
            </w:r>
          </w:p>
        </w:tc>
        <w:tc>
          <w:tcPr>
            <w:tcW w:w="4319" w:type="dxa"/>
            <w:tcBorders/>
            <w:shd w:color="auto" w:fill="1E3A8A"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Valeur</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Total Rendez-Vous enregistrés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37</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Rendez-Vous terminés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 (54,1%)</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Rendez-Vous en suivi</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 (32,4%)</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Rendez-Vous en attente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 (13,5%)</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Nombre de patients uniques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13</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Nombre de médecins actifs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Services médicaux utilisés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Période couverte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Mars 2026 – Mai 2026</w:t>
            </w:r>
          </w:p>
        </w:tc>
      </w:tr>
    </w:tbl>
    <w:p>
      <w:pPr>
        <w:pStyle w:val="Normal"/>
        <w:rPr/>
      </w:pPr>
      <w:r>
        <w:rPr/>
      </w:r>
    </w:p>
    <w:p>
      <w:pPr>
        <w:pStyle w:val="Titre2"/>
        <w:rPr/>
      </w:pPr>
      <w:r>
        <w:rPr>
          <w:color w:val="1E3A8A"/>
        </w:rPr>
        <w:t>4.2 Analyse par Service</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color="auto" w:fill="0E7490"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Service</w:t>
            </w:r>
          </w:p>
        </w:tc>
        <w:tc>
          <w:tcPr>
            <w:tcW w:w="2160" w:type="dxa"/>
            <w:tcBorders/>
            <w:shd w:color="auto" w:fill="0E7490"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Total RDV</w:t>
            </w:r>
          </w:p>
        </w:tc>
        <w:tc>
          <w:tcPr>
            <w:tcW w:w="2160" w:type="dxa"/>
            <w:tcBorders/>
            <w:shd w:color="auto" w:fill="0E7490"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Terminés</w:t>
            </w:r>
          </w:p>
        </w:tc>
        <w:tc>
          <w:tcPr>
            <w:tcW w:w="2159" w:type="dxa"/>
            <w:tcBorders/>
            <w:shd w:color="auto" w:fill="0E7490"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Taux d'achèvement</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Médecine générale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13</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65%</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Pédiatrie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60%</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Gynécologie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Cardiologie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Laboratoire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67%</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Imagerie Médicale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w:t>
            </w:r>
          </w:p>
        </w:tc>
      </w:tr>
    </w:tbl>
    <w:p>
      <w:pPr>
        <w:pStyle w:val="Normal"/>
        <w:rPr/>
      </w:pPr>
      <w:r>
        <w:rPr/>
      </w:r>
    </w:p>
    <w:p>
      <w:pPr>
        <w:pStyle w:val="Titre1"/>
        <w:rPr/>
      </w:pPr>
      <w:r>
        <w:rPr>
          <w:color w:val="1E3A8A"/>
        </w:rPr>
        <w:t xml:space="preserve">5. Analyse </w:t>
      </w:r>
      <w:r>
        <w:rPr>
          <w:color w:val="1E3A8A"/>
        </w:rPr>
        <w:t>t</w:t>
      </w:r>
      <w:r>
        <w:rPr>
          <w:color w:val="1E3A8A"/>
        </w:rPr>
        <w:t xml:space="preserve">emporelle et </w:t>
      </w:r>
      <w:r>
        <w:rPr>
          <w:color w:val="1E3A8A"/>
        </w:rPr>
        <w:t>t</w:t>
      </w:r>
      <w:r>
        <w:rPr>
          <w:color w:val="1E3A8A"/>
        </w:rPr>
        <w:t>endances</w:t>
      </w:r>
    </w:p>
    <w:p>
      <w:pPr>
        <w:pStyle w:val="Normal"/>
        <w:rPr/>
      </w:pPr>
      <w:r>
        <w:rPr>
          <w:b w:val="false"/>
          <w:i w:val="false"/>
          <w:sz w:val="22"/>
        </w:rPr>
        <w:t>L'analyse de l'évolution mensuelle révèle une forte concentration de l'activité en mars 2026, mois de démarrage du système avec 30 rendez-vous enregistrés. Ce pic s'explique par la mise en production de l'ERP et l'initialisation des données historiques.</w:t>
      </w:r>
    </w:p>
    <w:p>
      <w:pPr>
        <w:pStyle w:val="Normal"/>
        <w:rPr/>
      </w:pPr>
      <w:r>
        <w:rPr/>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1E3A8A"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Période</w:t>
            </w:r>
          </w:p>
        </w:tc>
        <w:tc>
          <w:tcPr>
            <w:tcW w:w="2880" w:type="dxa"/>
            <w:tcBorders/>
            <w:shd w:color="auto" w:fill="1E3A8A"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Nombre de RDV</w:t>
            </w:r>
          </w:p>
        </w:tc>
        <w:tc>
          <w:tcPr>
            <w:tcW w:w="2880" w:type="dxa"/>
            <w:tcBorders/>
            <w:shd w:color="auto" w:fill="1E3A8A"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Observation</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Mars 2026</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Démarrage système — données historiques</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Avril 2026</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Activité courante — faible volume</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Mai 2026 (partiel)</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Rendez-vous futurs planifiés</w:t>
            </w:r>
          </w:p>
        </w:tc>
      </w:tr>
    </w:tbl>
    <w:p>
      <w:pPr>
        <w:pStyle w:val="Normal"/>
        <w:rPr/>
      </w:pPr>
      <w:r>
        <w:rPr/>
      </w:r>
    </w:p>
    <w:p>
      <w:pPr>
        <w:pStyle w:val="Titre1"/>
        <w:rPr/>
      </w:pPr>
      <w:r>
        <w:rPr>
          <w:color w:val="1E3A8A"/>
        </w:rPr>
        <w:t xml:space="preserve">6. Conclusions et </w:t>
      </w:r>
      <w:r>
        <w:rPr>
          <w:color w:val="1E3A8A"/>
        </w:rPr>
        <w:t>r</w:t>
      </w:r>
      <w:r>
        <w:rPr>
          <w:color w:val="1E3A8A"/>
        </w:rPr>
        <w:t>ecommandations</w:t>
      </w:r>
    </w:p>
    <w:p>
      <w:pPr>
        <w:pStyle w:val="Normal"/>
        <w:rPr/>
      </w:pPr>
      <w:r>
        <w:rPr>
          <w:b/>
          <w:i w:val="false"/>
          <w:sz w:val="22"/>
        </w:rPr>
        <w:t xml:space="preserve">▸ </w:t>
      </w:r>
      <w:r>
        <w:rPr>
          <w:b/>
          <w:i w:val="false"/>
          <w:sz w:val="22"/>
        </w:rPr>
        <w:t>Enrichissement des données patients</w:t>
      </w:r>
    </w:p>
    <w:p>
      <w:pPr>
        <w:pStyle w:val="Normal"/>
        <w:ind w:left="432" w:hanging="0"/>
        <w:rPr/>
      </w:pPr>
      <w:r>
        <w:rPr>
          <w:b w:val="false"/>
          <w:i w:val="false"/>
          <w:sz w:val="22"/>
        </w:rPr>
        <w:t>Les données de naissance et d'adresse sont manquantes pour les nouveaux patients (IDs 10–13). Il est recommandé de rendre ces champs obligatoires à l'inscription pour enrichir les analyses démographiques.</w:t>
      </w:r>
    </w:p>
    <w:p>
      <w:pPr>
        <w:pStyle w:val="Normal"/>
        <w:rPr/>
      </w:pPr>
      <w:r>
        <w:rPr/>
      </w:r>
    </w:p>
    <w:p>
      <w:pPr>
        <w:pStyle w:val="Normal"/>
        <w:rPr/>
      </w:pPr>
      <w:r>
        <w:rPr>
          <w:b/>
          <w:i w:val="false"/>
          <w:sz w:val="22"/>
        </w:rPr>
        <w:t xml:space="preserve">▸ </w:t>
      </w:r>
      <w:r>
        <w:rPr>
          <w:b/>
          <w:i w:val="false"/>
          <w:sz w:val="22"/>
        </w:rPr>
        <w:t>Suivi du taux d'achèvement</w:t>
      </w:r>
    </w:p>
    <w:p>
      <w:pPr>
        <w:pStyle w:val="Normal"/>
        <w:ind w:left="432" w:hanging="0"/>
        <w:rPr/>
      </w:pPr>
      <w:r>
        <w:rPr>
          <w:b w:val="false"/>
          <w:i w:val="false"/>
          <w:sz w:val="22"/>
        </w:rPr>
        <w:t>Le taux global de 54% indique que près de la moitié des rendez-vous sont encore en cours ou en attente. Un suivi régulier de cet indicateur permettra de détecter les goulots d'étranglement.</w:t>
      </w:r>
    </w:p>
    <w:p>
      <w:pPr>
        <w:pStyle w:val="Normal"/>
        <w:rPr/>
      </w:pPr>
      <w:r>
        <w:rPr/>
      </w:r>
    </w:p>
    <w:p>
      <w:pPr>
        <w:pStyle w:val="Normal"/>
        <w:rPr/>
      </w:pPr>
      <w:r>
        <w:rPr>
          <w:b/>
          <w:i w:val="false"/>
          <w:sz w:val="22"/>
        </w:rPr>
        <w:t xml:space="preserve">▸ </w:t>
      </w:r>
      <w:r>
        <w:rPr>
          <w:b/>
          <w:i w:val="false"/>
          <w:sz w:val="22"/>
        </w:rPr>
        <w:t>Équilibrage de la charge médicale</w:t>
      </w:r>
    </w:p>
    <w:p>
      <w:pPr>
        <w:pStyle w:val="Normal"/>
        <w:ind w:left="432" w:hanging="0"/>
        <w:rPr/>
      </w:pPr>
      <w:r>
        <w:rPr>
          <w:b w:val="false"/>
          <w:i w:val="false"/>
          <w:sz w:val="22"/>
        </w:rPr>
        <w:t>La Médecine générale concentre 54% des rendez-vous. Une analyse plus fine permettrait d'optimiser la répartition entre les médecins généralistes.</w:t>
      </w:r>
    </w:p>
    <w:p>
      <w:pPr>
        <w:pStyle w:val="Normal"/>
        <w:rPr/>
      </w:pPr>
      <w:r>
        <w:rPr/>
      </w:r>
    </w:p>
    <w:p>
      <w:pPr>
        <w:pStyle w:val="Normal"/>
        <w:rPr/>
      </w:pPr>
      <w:r>
        <w:rPr>
          <w:b/>
          <w:i w:val="false"/>
          <w:sz w:val="22"/>
        </w:rPr>
        <w:t xml:space="preserve">▸ </w:t>
      </w:r>
      <w:r>
        <w:rPr>
          <w:b/>
          <w:i w:val="false"/>
          <w:sz w:val="22"/>
        </w:rPr>
        <w:t>Automatisation ETL</w:t>
      </w:r>
    </w:p>
    <w:p>
      <w:pPr>
        <w:pStyle w:val="Normal"/>
        <w:ind w:left="432" w:hanging="0"/>
        <w:rPr/>
      </w:pPr>
      <w:r>
        <w:rPr>
          <w:b w:val="false"/>
          <w:i w:val="false"/>
          <w:sz w:val="22"/>
        </w:rPr>
        <w:t>Mettre en place un pipeline ETL automatisé (Airflow, cron) pour alimenter le Data Warehouse quotidiennement et maintenir les tableaux de bord à jour en temps réel.</w:t>
      </w:r>
    </w:p>
    <w:p>
      <w:pPr>
        <w:pStyle w:val="Normal"/>
        <w:rPr/>
      </w:pPr>
      <w:r>
        <w:rPr/>
      </w:r>
    </w:p>
    <w:p>
      <w:pPr>
        <w:pStyle w:val="Normal"/>
        <w:rPr/>
      </w:pPr>
      <w:r>
        <w:rPr>
          <w:b/>
          <w:i w:val="false"/>
          <w:sz w:val="22"/>
        </w:rPr>
        <w:t xml:space="preserve">▸ </w:t>
      </w:r>
      <w:r>
        <w:rPr>
          <w:b/>
          <w:i w:val="false"/>
          <w:sz w:val="22"/>
        </w:rPr>
        <w:t>Extension du Data Warehouse</w:t>
      </w:r>
    </w:p>
    <w:p>
      <w:pPr>
        <w:pStyle w:val="Normal"/>
        <w:ind w:left="432" w:hanging="0"/>
        <w:rPr/>
      </w:pPr>
      <w:r>
        <w:rPr>
          <w:b w:val="false"/>
          <w:i w:val="false"/>
          <w:sz w:val="22"/>
        </w:rPr>
        <w:t>Intégrer les données de facturation et de prescription médicale pour enrichir l'analyse et calculer des KPIs financiers.</w:t>
      </w:r>
    </w:p>
    <w:p>
      <w:pPr>
        <w:pStyle w:val="Normal"/>
        <w:rPr/>
      </w:pPr>
      <w:r>
        <w:rPr/>
      </w:r>
    </w:p>
    <w:p>
      <w:pPr>
        <w:pStyle w:val="Normal"/>
        <w:rPr/>
      </w:pPr>
      <w:r>
        <w:rPr/>
      </w:r>
      <w:r>
        <w:br w:type="page"/>
      </w:r>
    </w:p>
    <w:p>
      <w:pPr>
        <w:pStyle w:val="Normal"/>
        <w:spacing w:before="0" w:after="200"/>
        <w:jc w:val="center"/>
        <w:rPr/>
      </w:pPr>
      <w:r>
        <w:rPr>
          <w:i/>
          <w:color w:val="64748B"/>
          <w:sz w:val="18"/>
        </w:rPr>
        <w:t>E-Sitrana BI · Rapport Business Intelligence · Modélisation en Étoile · ETL Python · 2026</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Titre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Titre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Titre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itre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itre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itre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itre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itre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itre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Accentuation">
    <w:name w:val="Accentuation"/>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link w:val="BodyTextChar"/>
    <w:uiPriority w:val="99"/>
    <w:unhideWhenUsed/>
    <w:rsid w:val="00aa1d8d"/>
    <w:pPr>
      <w:spacing w:before="0" w:after="120"/>
    </w:pPr>
    <w:rPr/>
  </w:style>
  <w:style w:type="paragraph" w:styleId="Liste">
    <w:name w:val="List"/>
    <w:basedOn w:val="Normal"/>
    <w:uiPriority w:val="99"/>
    <w:unhideWhenUsed/>
    <w:rsid w:val="00aa1d8d"/>
    <w:pPr>
      <w:spacing w:before="0" w:after="200"/>
      <w:ind w:left="360" w:hanging="360"/>
      <w:contextualSpacing/>
    </w:pPr>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rPr/>
  </w:style>
  <w:style w:type="paragraph" w:styleId="Entte">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depage">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reprincip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oustitr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e2">
    <w:name w:val="List Bullet 3"/>
    <w:basedOn w:val="Normal"/>
    <w:uiPriority w:val="99"/>
    <w:unhideWhenUsed/>
    <w:rsid w:val="00326f90"/>
    <w:pPr>
      <w:spacing w:before="0" w:after="200"/>
      <w:ind w:left="720" w:hanging="360"/>
      <w:contextualSpacing/>
    </w:pPr>
    <w:rPr/>
  </w:style>
  <w:style w:type="paragraph" w:styleId="Liste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lexicaltitre">
    <w:name w:val="Index Heading"/>
    <w:basedOn w:val="Titre"/>
    <w:pPr/>
    <w:rPr/>
  </w:style>
  <w:style w:type="paragraph" w:styleId="Titredetabledesmatires">
    <w:name w:val="TOC Heading"/>
    <w:basedOn w:val="Titre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6</Pages>
  <Words>722</Words>
  <Characters>4233</Characters>
  <CharactersWithSpaces>4852</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2026-05-13T07:39:36Z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