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pPr w:leftFromText="141" w:rightFromText="141" w:vertAnchor="text" w:horzAnchor="margin" w:tblpXSpec="center" w:tblpY="70"/>
        <w:tblW w:w="11483" w:type="dxa"/>
        <w:tblLook w:val="04A0"/>
      </w:tblPr>
      <w:tblGrid>
        <w:gridCol w:w="11483"/>
      </w:tblGrid>
      <w:tr w:rsidR="000A1D0B" w:rsidTr="000A1D0B">
        <w:tc>
          <w:tcPr>
            <w:tcW w:w="11483" w:type="dxa"/>
          </w:tcPr>
          <w:p w:rsidR="000A1D0B" w:rsidRPr="000A1D0B" w:rsidRDefault="000A1D0B" w:rsidP="000A1D0B">
            <w:pPr>
              <w:pStyle w:val="Prrafodelista"/>
              <w:ind w:left="0"/>
              <w:rPr>
                <w:b/>
                <w:color w:val="FF0000"/>
                <w:sz w:val="28"/>
                <w:szCs w:val="28"/>
              </w:rPr>
            </w:pPr>
            <w:r w:rsidRPr="000A1D0B">
              <w:rPr>
                <w:b/>
                <w:color w:val="FF0000"/>
                <w:sz w:val="28"/>
                <w:szCs w:val="28"/>
              </w:rPr>
              <w:t>IAM</w:t>
            </w:r>
            <w:r w:rsidR="00772DCD">
              <w:rPr>
                <w:b/>
                <w:color w:val="FF0000"/>
                <w:sz w:val="28"/>
                <w:szCs w:val="28"/>
              </w:rPr>
              <w:t xml:space="preserve">   HLEA</w:t>
            </w:r>
          </w:p>
          <w:p w:rsidR="000A1D0B" w:rsidRDefault="000A1D0B" w:rsidP="000A1D0B">
            <w:pPr>
              <w:pStyle w:val="Prrafodelista"/>
              <w:ind w:left="0"/>
            </w:pPr>
          </w:p>
          <w:p w:rsidR="000A1D0B" w:rsidRP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1. </w:t>
            </w:r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Solución dextrosa al 5 %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a razón de 500 ml a pasar a 20 ml/hora para 24 horas.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Se utiliza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ladextrosa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la cual es una azúcar simple, en el contexto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de una isquemia miocárdica debido al aumento del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estress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metabólico, ya que actúa como sustrato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proofErr w:type="gramStart"/>
            <w:r>
              <w:rPr>
                <w:rFonts w:ascii="TimesNewRomanPSMT" w:hAnsi="TimesNewRomanPSMT" w:cs="TimesNewRomanPSMT"/>
                <w:sz w:val="29"/>
                <w:szCs w:val="29"/>
              </w:rPr>
              <w:t>energético</w:t>
            </w:r>
            <w:proofErr w:type="gram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celular. Se utilizan 500 Ml debido a que estamos frente a un corazón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hipofuncionante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el cual no podría manejar una sobrecarga de volumen. No se recomienda el u so de solución salina, ya que es un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expansor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del plasma y aumentaría la precarga con el consiguiente aumento del trabajo cardiaco.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2. </w:t>
            </w:r>
            <w:proofErr w:type="spellStart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Ranitidina</w:t>
            </w:r>
            <w:proofErr w:type="spellEnd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50 mg cada 8 horas E.</w:t>
            </w:r>
            <w:r w:rsidRPr="000A1D0B">
              <w:rPr>
                <w:rFonts w:ascii="TimesNewRomanPSMT" w:hAnsi="TimesNewRomanPSMT" w:cs="TimesNewRomanPSMT"/>
                <w:b/>
                <w:color w:val="0070C0"/>
                <w:sz w:val="29"/>
                <w:szCs w:val="29"/>
              </w:rPr>
              <w:t>V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Esta actúa como protector gástrico, de manera selectiva sobre los receptores H2 del estómago, son antagonistas competitivos de la histamina. Se prefiere la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ranitidina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debido a que el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omeprazol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se metaboliza por medio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proofErr w:type="gramStart"/>
            <w:r>
              <w:rPr>
                <w:rFonts w:ascii="TimesNewRomanPSMT" w:hAnsi="TimesNewRomanPSMT" w:cs="TimesNewRomanPSMT"/>
                <w:sz w:val="29"/>
                <w:szCs w:val="29"/>
              </w:rPr>
              <w:t>del</w:t>
            </w:r>
            <w:proofErr w:type="gram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citocromo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P-450 atreves de la enzima CYP2C19 al igual que el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clopidogrel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y por lo tanto impedirían la conversión de este en su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metabolito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activo. Otro inhibidor de bomba que podríamos utilizar seria el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pantoprazol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,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deslansoprazol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,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rabeprazol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P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3. Aspirina 325 mg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de inicio para luego continuar con 81 mg cada 24 horas. </w:t>
            </w:r>
            <w:proofErr w:type="gramStart"/>
            <w:r>
              <w:rPr>
                <w:rFonts w:ascii="TimesNewRomanPSMT" w:hAnsi="TimesNewRomanPSMT" w:cs="TimesNewRomanPSMT"/>
                <w:sz w:val="29"/>
                <w:szCs w:val="29"/>
              </w:rPr>
              <w:t>es</w:t>
            </w:r>
            <w:proofErr w:type="gram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un inhibidor de la agregación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plaquetaria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, disminuye la formación de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trombos al inhibir al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tromboxano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A</w:t>
            </w:r>
            <w:r>
              <w:rPr>
                <w:rFonts w:ascii="TimesNewRomanPSMT" w:hAnsi="TimesNewRomanPSMT" w:cs="TimesNewRomanPSMT"/>
                <w:sz w:val="11"/>
                <w:szCs w:val="11"/>
              </w:rPr>
              <w:t xml:space="preserve">2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por medio de la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acetilación irreversible de la Cox2.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proofErr w:type="gramStart"/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¿</w:t>
            </w:r>
            <w:proofErr w:type="gram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En quienes no se utiliza dosis de carga?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En pacientes ancianos mayores de 75 años, pacientes con sangrado activo, los que hayan usado aspirina y pacientes alérgicos a los AINE.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P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4. </w:t>
            </w:r>
            <w:proofErr w:type="spellStart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Clopidogrel</w:t>
            </w:r>
            <w:proofErr w:type="spellEnd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300 mg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de inicio para continuar con 75 mg cada 24 horas. </w:t>
            </w:r>
            <w:proofErr w:type="gramStart"/>
            <w:r>
              <w:rPr>
                <w:rFonts w:ascii="TimesNewRomanPSMT" w:hAnsi="TimesNewRomanPSMT" w:cs="TimesNewRomanPSMT"/>
                <w:sz w:val="29"/>
                <w:szCs w:val="29"/>
              </w:rPr>
              <w:t>bloquea</w:t>
            </w:r>
            <w:proofErr w:type="gram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la agregación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plaquetaria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ya que inhibe al receptor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plaquetario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P2Y12, evitando así la formación de trombos.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Porque se usa doble anti agregación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plaquetaria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?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Aumenta la eficacia ya que ambos medicamentos actúan por mecanismos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diferentesy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de esta forma reducen los eventos coronarios recurrente en un año, el riesgo de complicaciones cardiovasculares y disminuyen la morbilidad.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P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5. </w:t>
            </w:r>
            <w:proofErr w:type="spellStart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Enoxaparina</w:t>
            </w:r>
            <w:proofErr w:type="spellEnd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30 mg 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de inicio E.V para continuar con 1 mg por kg de peso cada 12 horas sin pasar los 100mg.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esta forma un complejo con la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antitrombina III e inactivan el factor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Xa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y de esta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forma limita la expansión de los trombos al impedir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la formación de fibrina. En los ancianos mayores de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75 años no se utiliza dosis de carga y se administra a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razón de 0.75 mg/kg cada 12 horas. En pacientes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como una tasa de filtrado glomerular menor de 30 se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administrara 1mg/kg cada 24 horas. No debe de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proofErr w:type="gramStart"/>
            <w:r>
              <w:rPr>
                <w:rFonts w:ascii="TimesNewRomanPSMT" w:hAnsi="TimesNewRomanPSMT" w:cs="TimesNewRomanPSMT"/>
                <w:sz w:val="29"/>
                <w:szCs w:val="29"/>
              </w:rPr>
              <w:lastRenderedPageBreak/>
              <w:t>administrarse</w:t>
            </w:r>
            <w:proofErr w:type="gram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a pacientes con una TFG menor de 15.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Symbol" w:hAnsi="Symbol" w:cs="Symbol"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Se prefiere la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enoxaparina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por que tiene una semivida más larga, mejor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biodisponibilidad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, no requiere medición periódica de TTP, produce menos riesgo de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trombocitopenia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y osteoporosis.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Symbol" w:hAnsi="Symbol" w:cs="Symbol"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 xml:space="preserve">Además de la </w:t>
            </w:r>
            <w:proofErr w:type="spellStart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>enoxaparina</w:t>
            </w:r>
            <w:proofErr w:type="spellEnd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>pordemos</w:t>
            </w:r>
            <w:proofErr w:type="spellEnd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 xml:space="preserve"> utilizar, Heparina no fraccionada a razón de 60-70 </w:t>
            </w:r>
            <w:proofErr w:type="spellStart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>uds</w:t>
            </w:r>
            <w:proofErr w:type="spellEnd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 xml:space="preserve">/kg hasta 5,000 </w:t>
            </w:r>
            <w:proofErr w:type="spellStart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>uds</w:t>
            </w:r>
            <w:proofErr w:type="spellEnd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 xml:space="preserve"> de inicio para continuar con 12-15 uds1.000 </w:t>
            </w:r>
            <w:proofErr w:type="spellStart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>uds</w:t>
            </w:r>
            <w:proofErr w:type="spellEnd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 xml:space="preserve">/h hasta un máximo de en cada solución de base. </w:t>
            </w:r>
            <w:proofErr w:type="spellStart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>Fondaparinux</w:t>
            </w:r>
            <w:proofErr w:type="spellEnd"/>
            <w:r>
              <w:rPr>
                <w:rFonts w:ascii="TimesNewRomanPS-ItalicMT" w:hAnsi="TimesNewRomanPS-ItalicMT" w:cs="TimesNewRomanPS-ItalicMT"/>
                <w:i/>
                <w:iCs/>
                <w:sz w:val="29"/>
                <w:szCs w:val="29"/>
              </w:rPr>
              <w:t xml:space="preserve"> 2,5 mg/día y está contraindicado cuando TFG menor de 20.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Symbol" w:hAnsi="Symbol" w:cs="Symbol"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La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enoxaparina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está contraindicada: alteraciones hemorrágicas, alcoholismo, </w:t>
            </w:r>
            <w:proofErr w:type="gramStart"/>
            <w:r>
              <w:rPr>
                <w:rFonts w:ascii="TimesNewRomanPSMT" w:hAnsi="TimesNewRomanPSMT" w:cs="TimesNewRomanPSMT"/>
                <w:sz w:val="29"/>
                <w:szCs w:val="29"/>
              </w:rPr>
              <w:t>cirugía cerebral reciente y pacientes alérgicos</w:t>
            </w:r>
            <w:proofErr w:type="gramEnd"/>
            <w:r>
              <w:rPr>
                <w:rFonts w:ascii="TimesNewRomanPSMT" w:hAnsi="TimesNewRomanPSMT" w:cs="TimesNewRomanPSMT"/>
                <w:sz w:val="29"/>
                <w:szCs w:val="29"/>
              </w:rPr>
              <w:t>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6. </w:t>
            </w:r>
            <w:proofErr w:type="spellStart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Mononitrato</w:t>
            </w:r>
            <w:proofErr w:type="spellEnd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de </w:t>
            </w:r>
            <w:proofErr w:type="spellStart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isosorbide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a razón de 20 mg a las 8:00 am y a las 4:00 pm V.O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Estos compuestos reducen las demandas de oxigeno del miocardio con alivio posterior de los síntomas, se convierten en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le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espacio intracelular en iones de nitritos y luego en óxido nítrico, relajan el musculo liso vascular venoso y disminuyen la precarga y por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proofErr w:type="gramStart"/>
            <w:r>
              <w:rPr>
                <w:rFonts w:ascii="TimesNewRomanPSMT" w:hAnsi="TimesNewRomanPSMT" w:cs="TimesNewRomanPSMT"/>
                <w:sz w:val="29"/>
                <w:szCs w:val="29"/>
              </w:rPr>
              <w:t>lo</w:t>
            </w:r>
            <w:proofErr w:type="gram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tanto el trabajo cardiaco y dilatan la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vasculatura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coronaria con lo cual proveen un mayor suministro de sangre al musculo cardiaco. Se utilizan en este horario ya que estos actúan a nivel de los receptores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sulfidrilos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en el endotelio vascular y estos se agotan por cual hay que darle un espacio de 8 horas para que se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desaturen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y/o regeneren.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7. </w:t>
            </w:r>
            <w:proofErr w:type="spellStart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Dinitrato</w:t>
            </w:r>
            <w:proofErr w:type="spellEnd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de </w:t>
            </w:r>
            <w:proofErr w:type="spellStart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isosorbide</w:t>
            </w:r>
            <w:proofErr w:type="spellEnd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5mg S.O.S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vía sublingual </w:t>
            </w:r>
          </w:p>
          <w:p w:rsidR="000A1D0B" w:rsidRP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>
              <w:rPr>
                <w:rFonts w:ascii="TimesNewRomanPSMT" w:hAnsi="TimesNewRomanPSMT" w:cs="TimesNewRomanPSMT"/>
                <w:sz w:val="29"/>
                <w:szCs w:val="29"/>
              </w:rPr>
              <w:t>Este se utiliza como fármaco de rescate debido a que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el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mononitrato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tiene una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semi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vida corta.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Estos están contraindicados en pacientes que utilicen inhibidores de la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fosfodiesterasa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5, en hipotensión, bradicardia o taquicardia, disfunción diastólica, infarto del ventrículo derecho.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MT" w:hAnsi="TimesNewRomanPSMT" w:cs="TimesNewRomanPSMT"/>
                <w:sz w:val="29"/>
                <w:szCs w:val="29"/>
              </w:rPr>
              <w:t>Como efectos adversos los nitratos pueden producir: cefalea, hipotensión postural, rubor facial, y taquicardia.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P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</w:pPr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8. </w:t>
            </w:r>
            <w:proofErr w:type="spellStart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Enalapril</w:t>
            </w:r>
            <w:proofErr w:type="spellEnd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o </w:t>
            </w:r>
            <w:proofErr w:type="spellStart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ramipril</w:t>
            </w:r>
            <w:proofErr w:type="spellEnd"/>
            <w:r w:rsidRPr="000A1D0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2.5 mg cada 12 horas V.O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Disminuyen la precarga y la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postcarga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, limitan la remodelación ventricular, restauran la función endotelial y por sus efectos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antiproliferativos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y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antiaterogenicos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, estabilizan la placa y potencian la fibrinólisis, disminuyen la morbilidad a corto y largo plazo.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lastRenderedPageBreak/>
              <w:t xml:space="preserve">9. </w:t>
            </w:r>
            <w:proofErr w:type="spellStart"/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Carvedilol</w:t>
            </w:r>
            <w:proofErr w:type="spellEnd"/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3.125 mg c/12 horas V.O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disminuyen la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frecuencia cardiaca (50-60 L/min), el remodelado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cardiaco, el gasto cardiaco, la hipertrofia y la muerte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celular, son también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antianginosos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. Se podría utilizar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bisoprolol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5mg cada 24 horas,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metoprolol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50 mg cada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12 horas V.O.</w:t>
            </w:r>
          </w:p>
          <w:p w:rsidR="00A47CED" w:rsidRDefault="00A47CED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Pr="00A47CED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10. </w:t>
            </w:r>
            <w:proofErr w:type="spellStart"/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Atorvastatina</w:t>
            </w:r>
            <w:proofErr w:type="spellEnd"/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80 mg 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a las 9:00 pm V.O /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Rousuvastatina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40 mg a las 9:00 pm,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la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atorvastatina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es de alta intensidad. Reducen las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concentraciones de LDL y colesterol, lo ideal es una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LDL por debajo de 70. Se administran a las 9:00 pm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porque a esa hora es que hay una mayor síntesis de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colesterol. Se utilizan por los efectos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pleiotropicos</w:t>
            </w:r>
            <w:proofErr w:type="spellEnd"/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que producen los cuales son efectos independientes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de los lípidos. Estos son: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Disminucion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del grado de inflamación,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reducción de macrófagos, del estrés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oxidativo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,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de la actividad del sistema de las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metaloproteinasas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en las placas ateroscleróticas,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de gran variedad de mediadores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proinflamatorios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, entre ellos, por ejemplo: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interleucina-1,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interferón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gamma,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interleuquina</w:t>
            </w:r>
            <w:proofErr w:type="spellEnd"/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6 y CD4 vinculada soluble. Disminuye la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proteína c reactiva, de los niveles de inhibidor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del activador del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plasminogeno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1, de los niveles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del factor tisular.</w:t>
            </w:r>
          </w:p>
          <w:p w:rsidR="00A47CED" w:rsidRDefault="00A47CED" w:rsidP="000A1D0B">
            <w:pPr>
              <w:autoSpaceDE w:val="0"/>
              <w:autoSpaceDN w:val="0"/>
              <w:adjustRightInd w:val="0"/>
              <w:rPr>
                <w:rFonts w:ascii="Symbol" w:hAnsi="Symbol" w:cs="Symbol"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Aumento: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de la deposición de colágeno,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producción de óxido nítrico, mejora la función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endotelial, disminuye la apoptosis endotelial.</w:t>
            </w:r>
          </w:p>
          <w:p w:rsidR="00A47CED" w:rsidRDefault="00A47CED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Pr="00A47CED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11. </w:t>
            </w:r>
            <w:proofErr w:type="spellStart"/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Nalbufina</w:t>
            </w:r>
            <w:proofErr w:type="spellEnd"/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10 mg diluido en 100cc S.S 0.9% 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si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dolor torácico, previa toma de TA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es un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opioide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que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inhibe los receptores MU, kappa y delta. Se usa para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el tratamiento de severo a moderado. No se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recomienda el uso de morfina debido a que esta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disminuye la absorción y la eficacia de los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antiagregantes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plaquetarios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orales.</w:t>
            </w:r>
          </w:p>
          <w:p w:rsidR="00A47CED" w:rsidRDefault="00A47CED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12. Leche magnesia 20 ml 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cada 24 horas V.O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este es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un laxante osmótico, el cual se utiliza para evitar las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maniobras de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valsalba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.</w:t>
            </w:r>
          </w:p>
          <w:p w:rsidR="00A47CED" w:rsidRDefault="00A47CED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13. </w:t>
            </w:r>
            <w:proofErr w:type="spellStart"/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Alplaxolam</w:t>
            </w:r>
            <w:proofErr w:type="spellEnd"/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 0.5 mg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cada 24horas 9:00 pm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los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sitios de acción de las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benzodiacepinas son los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receptores de ácido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aminobutirico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(GABA) que es el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proofErr w:type="gramStart"/>
            <w:r>
              <w:rPr>
                <w:rFonts w:ascii="TimesNewRomanPSMT" w:hAnsi="TimesNewRomanPSMT" w:cs="TimesNewRomanPSMT"/>
                <w:sz w:val="29"/>
                <w:szCs w:val="29"/>
              </w:rPr>
              <w:t>principal</w:t>
            </w:r>
            <w:proofErr w:type="gram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neurotransmisor inhibidor del sistema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nervioso central. Reducen la ansiedad, acción sedante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e hipnótica.</w:t>
            </w:r>
          </w:p>
          <w:p w:rsidR="00A47CED" w:rsidRDefault="00A47CED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Pr="0033339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4"/>
                <w:szCs w:val="24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Definición universal de infarto</w:t>
            </w:r>
            <w:r w:rsidR="00A47CED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proofErr w:type="spellStart"/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Infarto</w:t>
            </w:r>
            <w:proofErr w:type="spellEnd"/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 agudo al miocardio se define como la necrosis</w:t>
            </w:r>
          </w:p>
          <w:p w:rsidR="000A1D0B" w:rsidRPr="0033339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4"/>
                <w:szCs w:val="24"/>
              </w:rPr>
            </w:pPr>
            <w:proofErr w:type="gramStart"/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de</w:t>
            </w:r>
            <w:proofErr w:type="gramEnd"/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 </w:t>
            </w:r>
            <w:proofErr w:type="spellStart"/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cardiomiocitos</w:t>
            </w:r>
            <w:proofErr w:type="spellEnd"/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 en un contexto clínico consistente</w:t>
            </w:r>
            <w:r w:rsidR="00A47CED"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 </w:t>
            </w:r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con isquémica miocárdica aguda.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Requiere que se cumplan una serie de criterios, entre</w:t>
            </w:r>
            <w:r w:rsidR="00A47CED"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 </w:t>
            </w:r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ellos, la detección de un aumento o una disminución</w:t>
            </w:r>
            <w:r w:rsidR="00A47CED"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 </w:t>
            </w:r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de </w:t>
            </w:r>
            <w:proofErr w:type="spellStart"/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biomarcadores</w:t>
            </w:r>
            <w:proofErr w:type="spellEnd"/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 cardiacos (preferiblemente</w:t>
            </w:r>
            <w:r w:rsidR="00A47CED"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 </w:t>
            </w:r>
            <w:proofErr w:type="spellStart"/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troponina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cardiaca de alta sensibilidad) con al menos</w:t>
            </w:r>
            <w:r w:rsidR="00A47CED"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 </w:t>
            </w:r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uno de los valores por encima del percentil 99 del</w:t>
            </w:r>
            <w:r w:rsidR="00A47CED"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 </w:t>
            </w:r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límite superior de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referencia y al menos uno de </w:t>
            </w:r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lastRenderedPageBreak/>
              <w:t>los</w:t>
            </w:r>
            <w:r w:rsidR="00A47CED" w:rsidRPr="0033339B">
              <w:rPr>
                <w:rFonts w:ascii="TimesNewRomanPSMT" w:hAnsi="TimesNewRomanPSMT" w:cs="TimesNewRomanPSMT"/>
                <w:sz w:val="24"/>
                <w:szCs w:val="24"/>
              </w:rPr>
              <w:t xml:space="preserve"> </w:t>
            </w:r>
            <w:r w:rsidRPr="0033339B">
              <w:rPr>
                <w:rFonts w:ascii="TimesNewRomanPSMT" w:hAnsi="TimesNewRomanPSMT" w:cs="TimesNewRomanPSMT"/>
                <w:sz w:val="24"/>
                <w:szCs w:val="24"/>
              </w:rPr>
              <w:t>siguientes factores: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Síntomas de isquemia.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Cambios significativos el ST-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onta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T o bloqueo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de rama nuevos.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Aparición de ondas Q patológicas en el ECG.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Evidencia detectada por imagen de nueva o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presumiblemente nueva </w:t>
            </w:r>
            <w:proofErr w:type="spellStart"/>
            <w:proofErr w:type="gramStart"/>
            <w:r>
              <w:rPr>
                <w:rFonts w:ascii="TimesNewRomanPSMT" w:hAnsi="TimesNewRomanPSMT" w:cs="TimesNewRomanPSMT"/>
                <w:sz w:val="29"/>
                <w:szCs w:val="29"/>
              </w:rPr>
              <w:t>perdida</w:t>
            </w:r>
            <w:proofErr w:type="spellEnd"/>
            <w:proofErr w:type="gram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de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miocardiocitos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viable o anomalía regional en la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motilidad de la pared.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Identificación de un trombo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intracoronario</w:t>
            </w:r>
            <w:proofErr w:type="spellEnd"/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mediante angiografía o autopsia.</w:t>
            </w:r>
          </w:p>
          <w:p w:rsidR="00A47CED" w:rsidRDefault="00A47CED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Pr="00A47CED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color w:val="FF0000"/>
                <w:sz w:val="29"/>
                <w:szCs w:val="29"/>
              </w:rPr>
            </w:pPr>
            <w:r w:rsidRPr="00A47CED">
              <w:rPr>
                <w:rFonts w:ascii="TimesNewRomanPS-BoldMT" w:hAnsi="TimesNewRomanPS-BoldMT" w:cs="TimesNewRomanPS-BoldMT"/>
                <w:b/>
                <w:bCs/>
                <w:color w:val="FF0000"/>
                <w:sz w:val="29"/>
                <w:szCs w:val="29"/>
              </w:rPr>
              <w:t>Tipos de infarto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 w:rsidRPr="00A47CED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1. Tipo 1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es un infarto espontaneo secundario</w:t>
            </w:r>
            <w:r w:rsidR="00A47CED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a la erosión o rotura de una placa de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proofErr w:type="gramStart"/>
            <w:r>
              <w:rPr>
                <w:rFonts w:ascii="TimesNewRomanPSMT" w:hAnsi="TimesNewRomanPSMT" w:cs="TimesNewRomanPSMT"/>
                <w:sz w:val="29"/>
                <w:szCs w:val="29"/>
              </w:rPr>
              <w:t>aterosclerótica</w:t>
            </w:r>
            <w:proofErr w:type="gramEnd"/>
            <w:r>
              <w:rPr>
                <w:rFonts w:ascii="TimesNewRomanPSMT" w:hAnsi="TimesNewRomanPSMT" w:cs="TimesNewRomanPSMT"/>
                <w:sz w:val="29"/>
                <w:szCs w:val="29"/>
              </w:rPr>
              <w:t>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 w:rsidRPr="0033339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2. Tipo 2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ocurre por un desbalance entre el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aporte y la demanda de oxigeno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miocárdico.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 w:rsidRPr="0033339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3. Tipo 3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muerte súbita donde tenemos datos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subjetivos de isquemia miocárdica con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proofErr w:type="gramStart"/>
            <w:r>
              <w:rPr>
                <w:rFonts w:ascii="TimesNewRomanPSMT" w:hAnsi="TimesNewRomanPSMT" w:cs="TimesNewRomanPSMT"/>
                <w:sz w:val="29"/>
                <w:szCs w:val="29"/>
              </w:rPr>
              <w:t>alteración</w:t>
            </w:r>
            <w:proofErr w:type="gram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electrocardiográfica pero sin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disponibilidad de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biomarcadores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.</w:t>
            </w:r>
          </w:p>
          <w:p w:rsidR="000A1D0B" w:rsidRPr="0033339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</w:pPr>
            <w:r w:rsidRPr="0033339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4. Tipo 4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A: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secundario a angioplastia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intraluminal</w:t>
            </w:r>
            <w:proofErr w:type="spellEnd"/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coronaria.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B: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Trombosis del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sten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5. Tipo 5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secundario a un revascularización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cardiaca.</w:t>
            </w:r>
          </w:p>
          <w:p w:rsidR="0033339B" w:rsidRDefault="0033339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19"/>
                <w:szCs w:val="19"/>
              </w:rPr>
            </w:pPr>
          </w:p>
          <w:p w:rsidR="0033339B" w:rsidRDefault="0033339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color w:val="0070C0"/>
                <w:sz w:val="24"/>
                <w:szCs w:val="24"/>
              </w:rPr>
            </w:pPr>
          </w:p>
          <w:p w:rsidR="0033339B" w:rsidRPr="0033339B" w:rsidRDefault="0033339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color w:val="0070C0"/>
                <w:sz w:val="24"/>
                <w:szCs w:val="24"/>
              </w:rPr>
            </w:pPr>
            <w:r w:rsidRPr="0033339B">
              <w:rPr>
                <w:rFonts w:ascii="TimesNewRomanPS-BoldMT" w:hAnsi="TimesNewRomanPS-BoldMT" w:cs="TimesNewRomanPS-BoldMT"/>
                <w:b/>
                <w:bCs/>
                <w:color w:val="0070C0"/>
                <w:sz w:val="24"/>
                <w:szCs w:val="24"/>
              </w:rPr>
              <w:t>COMPLICACIONES DE INFARTO</w:t>
            </w:r>
          </w:p>
          <w:p w:rsidR="000A1D0B" w:rsidRPr="0033339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color w:val="00B0F0"/>
                <w:sz w:val="29"/>
                <w:szCs w:val="29"/>
              </w:rPr>
            </w:pPr>
            <w:r w:rsidRPr="0033339B">
              <w:rPr>
                <w:rFonts w:ascii="TimesNewRomanPS-BoldMT" w:hAnsi="TimesNewRomanPS-BoldMT" w:cs="TimesNewRomanPS-BoldMT"/>
                <w:b/>
                <w:bCs/>
                <w:color w:val="00B0F0"/>
                <w:sz w:val="29"/>
                <w:szCs w:val="29"/>
              </w:rPr>
              <w:t>Mecánicas: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Miocárdicas: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hipocinesia, acinesia, acinesia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segmentaria,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discinecia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Rotura del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septum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interventricular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Rotura de la pared libre del ventrículo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Rotura de las cuerdas tendinosas (shock</w:t>
            </w:r>
            <w:r w:rsidR="0033339B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cardiogénico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)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Rotura de los músculos papilares (insuficiencia</w:t>
            </w:r>
            <w:r w:rsidR="0033339B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mitral)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Pseudo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aneurisma ventricular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Pericarditis o síndrome de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dressler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es la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pericarditis post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infarto la cual se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produce días o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semanas después del infarto. 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Temprana: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1-3 días.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Tardía: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varias semanas o meses después del infarto.</w:t>
            </w:r>
          </w:p>
          <w:p w:rsidR="000A1D0B" w:rsidRPr="0033339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color w:val="00B0F0"/>
                <w:sz w:val="29"/>
                <w:szCs w:val="29"/>
              </w:rPr>
            </w:pPr>
            <w:r w:rsidRPr="0033339B">
              <w:rPr>
                <w:rFonts w:ascii="TimesNewRomanPS-BoldMT" w:hAnsi="TimesNewRomanPS-BoldMT" w:cs="TimesNewRomanPS-BoldMT"/>
                <w:b/>
                <w:bCs/>
                <w:color w:val="00B0F0"/>
                <w:sz w:val="29"/>
                <w:szCs w:val="29"/>
              </w:rPr>
              <w:t>Bioquímicas:</w:t>
            </w:r>
          </w:p>
          <w:p w:rsidR="000A1D0B" w:rsidRPr="0033339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Disminución de oxígeno y disminución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dela</w:t>
            </w:r>
            <w:proofErr w:type="spellEnd"/>
            <w:r w:rsidR="0033339B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glucosa: </w:t>
            </w:r>
            <w:r w:rsidR="0033339B">
              <w:rPr>
                <w:rFonts w:ascii="Arial" w:hAnsi="Arial" w:cs="Arial"/>
                <w:sz w:val="29"/>
                <w:szCs w:val="29"/>
              </w:rPr>
              <w:t>↓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la glucolisis aerobia y se produce</w:t>
            </w:r>
            <w:r w:rsidR="0033339B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una glucolisis anaerobia y aumenta el lactato,</w:t>
            </w:r>
            <w:r w:rsidR="0033339B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disminuye el PH intracelular y disminuye la</w:t>
            </w:r>
            <w:r w:rsidR="0033339B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producción de ATP, todo esto produce una disfunción</w:t>
            </w:r>
            <w:r w:rsidR="0033339B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de la NA/K/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ATPasa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de los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miocitos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, el sodio se va a</w:t>
            </w:r>
            <w:r w:rsidR="0033339B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quedar en el interior de la célula, va a despolarizar y</w:t>
            </w:r>
            <w:r w:rsidR="0033339B"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aumentar el calcio en el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citosol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.</w:t>
            </w:r>
          </w:p>
          <w:p w:rsidR="0033339B" w:rsidRDefault="0033339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color w:val="00B0F0"/>
                <w:sz w:val="29"/>
                <w:szCs w:val="29"/>
              </w:rPr>
            </w:pPr>
          </w:p>
          <w:p w:rsidR="000A1D0B" w:rsidRPr="0033339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color w:val="00B0F0"/>
                <w:sz w:val="29"/>
                <w:szCs w:val="29"/>
              </w:rPr>
            </w:pPr>
            <w:r w:rsidRPr="0033339B">
              <w:rPr>
                <w:rFonts w:ascii="TimesNewRomanPS-BoldMT" w:hAnsi="TimesNewRomanPS-BoldMT" w:cs="TimesNewRomanPS-BoldMT"/>
                <w:b/>
                <w:bCs/>
                <w:color w:val="00B0F0"/>
                <w:sz w:val="29"/>
                <w:szCs w:val="29"/>
              </w:rPr>
              <w:t>Eléctricas: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Bloqueo de Rama y bloqueo AV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Arritmias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supraventricuales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taquicardia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sinusal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,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bradicardia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sinusal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, fibrilación auricular, extrasístoles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supra ventricular.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Arritmias ventriculares: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taquicardia ventricular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sostenida, fibrilación ventricular y extrasístoles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ventriculares, ritmo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idioventricular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acelerado.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Symbol" w:hAnsi="Symbol" w:cs="Symbol"/>
                <w:sz w:val="29"/>
                <w:szCs w:val="29"/>
              </w:rPr>
              <w:t></w:t>
            </w:r>
            <w:r>
              <w:rPr>
                <w:rFonts w:ascii="Symbol" w:hAnsi="Symbol" w:cs="Symbol"/>
                <w:sz w:val="29"/>
                <w:szCs w:val="29"/>
              </w:rPr>
              <w:t>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Trastornos de la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repolarización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onda T invertida.</w:t>
            </w:r>
          </w:p>
          <w:p w:rsidR="0033339B" w:rsidRDefault="0033339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Pr="0033339B" w:rsidRDefault="000A1D0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color w:val="00B0F0"/>
                <w:sz w:val="29"/>
                <w:szCs w:val="29"/>
              </w:rPr>
            </w:pPr>
            <w:r w:rsidRPr="0033339B">
              <w:rPr>
                <w:rFonts w:ascii="TimesNewRomanPS-BoldMT" w:hAnsi="TimesNewRomanPS-BoldMT" w:cs="TimesNewRomanPS-BoldMT"/>
                <w:b/>
                <w:bCs/>
                <w:color w:val="00B0F0"/>
                <w:sz w:val="29"/>
                <w:szCs w:val="29"/>
              </w:rPr>
              <w:t>Oxigeno terapia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MT" w:hAnsi="TimesNewRomanPSMT" w:cs="TimesNewRomanPSMT"/>
                <w:sz w:val="29"/>
                <w:szCs w:val="29"/>
              </w:rPr>
              <w:t>Se utiliza en pacientes con dificultad respiratoria, signos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de insuficiencia cardiaca,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killip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3,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Sat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menor de 90%. La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hiperoxia puede ser perjudicial para los pacientes con IAM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sin complicaciones, posiblemente debido a un aumento del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daño miocárdico.</w:t>
            </w:r>
          </w:p>
          <w:p w:rsidR="0033339B" w:rsidRDefault="0033339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Pr="0033339B" w:rsidRDefault="0033339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color w:val="FF0000"/>
                <w:sz w:val="29"/>
                <w:szCs w:val="29"/>
              </w:rPr>
            </w:pPr>
            <w:r w:rsidRPr="0033339B">
              <w:rPr>
                <w:rFonts w:ascii="TimesNewRomanPS-BoldMT" w:hAnsi="TimesNewRomanPS-BoldMT" w:cs="TimesNewRomanPS-BoldMT"/>
                <w:b/>
                <w:bCs/>
                <w:color w:val="FF0000"/>
                <w:sz w:val="29"/>
                <w:szCs w:val="29"/>
              </w:rPr>
              <w:t>DIAGNOSTICO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1. EKG en los primero 10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mins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(puede ser normal un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tercio de los pacientes, depresión del ST, elevación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transitoria del ST y cambios en la Onda T).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2.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>Biomarcadores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 cardiacos: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son 4 tipos,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mioglobinas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,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troponinas, CK y CK-MB,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copeptina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Las </w:t>
            </w:r>
            <w:proofErr w:type="spellStart"/>
            <w:r w:rsidRPr="0033339B">
              <w:rPr>
                <w:rFonts w:ascii="TimesNewRomanPSMT" w:hAnsi="TimesNewRomanPSMT" w:cs="TimesNewRomanPSMT"/>
                <w:b/>
                <w:color w:val="00B050"/>
                <w:sz w:val="29"/>
                <w:szCs w:val="29"/>
              </w:rPr>
              <w:t>mioglobinas</w:t>
            </w:r>
            <w:proofErr w:type="spellEnd"/>
            <w:r w:rsidRPr="0033339B">
              <w:rPr>
                <w:rFonts w:ascii="TimesNewRomanPSMT" w:hAnsi="TimesNewRomanPSMT" w:cs="TimesNewRomanPSMT"/>
                <w:b/>
                <w:color w:val="00B050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se elevan en las 2-3 horas después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del infarto.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MT" w:hAnsi="TimesNewRomanPSMT" w:cs="TimesNewRomanPSMT"/>
                <w:sz w:val="29"/>
                <w:szCs w:val="29"/>
              </w:rPr>
              <w:t>Troponinas son tres tipos, T-I-C, las más específicas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son la T-I, la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cardio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selectiva es la I, se elevan a las 3-6 horas luego del infarto, tienen un pico a las 24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horas y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permanecen en sangre de </w:t>
            </w:r>
            <w:r w:rsidRPr="0033339B">
              <w:rPr>
                <w:rFonts w:ascii="TimesNewRomanPSMT" w:hAnsi="TimesNewRomanPSMT" w:cs="TimesNewRomanPSMT"/>
                <w:b/>
                <w:sz w:val="29"/>
                <w:szCs w:val="29"/>
              </w:rPr>
              <w:t>7-14 días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MT" w:hAnsi="TimesNewRomanPSMT" w:cs="TimesNewRomanPSMT"/>
                <w:sz w:val="29"/>
                <w:szCs w:val="29"/>
              </w:rPr>
              <w:t>La CK y la CK-MB se elevan a las 4-6 horas y tienen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un pico a las 24 horas, permanecen en sangre de 3-4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días.</w:t>
            </w:r>
          </w:p>
          <w:p w:rsidR="0033339B" w:rsidRDefault="0033339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Las </w:t>
            </w:r>
            <w:r w:rsidRPr="0033339B">
              <w:rPr>
                <w:rFonts w:ascii="TimesNewRomanPSMT" w:hAnsi="TimesNewRomanPSMT" w:cs="TimesNewRomanPSMT"/>
                <w:b/>
                <w:color w:val="00B050"/>
                <w:sz w:val="29"/>
                <w:szCs w:val="29"/>
              </w:rPr>
              <w:t xml:space="preserve">troponinas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cardiacas son más sensibles y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específicas de daño miocárdico que la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creatinquinasa</w:t>
            </w:r>
            <w:proofErr w:type="spellEnd"/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CK, su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iso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encima MB, CK-MB y que la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mioglobina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>.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Las troponinas de alta sensibilidad se pueden elevar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en la primera hora y permanecen elevadas por varios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días.</w:t>
            </w: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La </w:t>
            </w:r>
            <w:proofErr w:type="spellStart"/>
            <w:r w:rsidRPr="0033339B">
              <w:rPr>
                <w:rFonts w:ascii="TimesNewRomanPSMT" w:hAnsi="TimesNewRomanPSMT" w:cs="TimesNewRomanPSMT"/>
                <w:b/>
                <w:color w:val="00B050"/>
                <w:sz w:val="29"/>
                <w:szCs w:val="29"/>
              </w:rPr>
              <w:t>copeptina</w:t>
            </w:r>
            <w:proofErr w:type="spellEnd"/>
            <w:r w:rsidRPr="0033339B">
              <w:rPr>
                <w:rFonts w:ascii="TimesNewRomanPSMT" w:hAnsi="TimesNewRomanPSMT" w:cs="TimesNewRomanPSMT"/>
                <w:b/>
                <w:color w:val="00B050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(extremo terminal de la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prohormona</w:t>
            </w:r>
            <w:proofErr w:type="spellEnd"/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vasopresina) permite determinar </w:t>
            </w:r>
            <w:proofErr w:type="spellStart"/>
            <w:r>
              <w:rPr>
                <w:rFonts w:ascii="TimesNewRomanPSMT" w:hAnsi="TimesNewRomanPSMT" w:cs="TimesNewRomanPSMT"/>
                <w:sz w:val="29"/>
                <w:szCs w:val="29"/>
              </w:rPr>
              <w:t>estress</w:t>
            </w:r>
            <w:proofErr w:type="spellEnd"/>
            <w:r>
              <w:rPr>
                <w:rFonts w:ascii="TimesNewRomanPSMT" w:hAnsi="TimesNewRomanPSMT" w:cs="TimesNewRomanPSMT"/>
                <w:sz w:val="29"/>
                <w:szCs w:val="29"/>
              </w:rPr>
              <w:t xml:space="preserve"> endógeno.</w:t>
            </w:r>
          </w:p>
          <w:p w:rsidR="0033339B" w:rsidRDefault="0033339B" w:rsidP="000A1D0B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</w:pPr>
          </w:p>
          <w:p w:rsidR="000A1D0B" w:rsidRDefault="000A1D0B" w:rsidP="000A1D0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3. </w:t>
            </w:r>
            <w:r w:rsidRPr="0033339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 xml:space="preserve">Ecocardiograma </w:t>
            </w:r>
            <w:r w:rsidR="0033339B" w:rsidRPr="0033339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transtorácico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permite identificar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alteraciones que indican isquemia miocárdica o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necrosis (Hipocinesia segmentaria o acinesia).</w:t>
            </w:r>
          </w:p>
          <w:p w:rsidR="000A1D0B" w:rsidRPr="0033339B" w:rsidRDefault="000A1D0B" w:rsidP="0033339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9"/>
                <w:szCs w:val="29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4. </w:t>
            </w:r>
            <w:r w:rsidRPr="0033339B">
              <w:rPr>
                <w:rFonts w:ascii="TimesNewRomanPS-BoldMT" w:hAnsi="TimesNewRomanPS-BoldMT" w:cs="TimesNewRomanPS-BoldMT"/>
                <w:b/>
                <w:bCs/>
                <w:color w:val="0070C0"/>
                <w:sz w:val="29"/>
                <w:szCs w:val="29"/>
              </w:rPr>
              <w:t>Resonancia magnética cardiaca</w:t>
            </w:r>
            <w:r>
              <w:rPr>
                <w:rFonts w:ascii="TimesNewRomanPS-BoldMT" w:hAnsi="TimesNewRomanPS-BoldMT" w:cs="TimesNewRomanPS-BoldMT"/>
                <w:b/>
                <w:bCs/>
                <w:sz w:val="29"/>
                <w:szCs w:val="29"/>
              </w:rPr>
              <w:t xml:space="preserve">: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permite evaluar la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perfusión y las alteraciones de la movilidad de la</w:t>
            </w:r>
            <w:r w:rsidR="0033339B">
              <w:rPr>
                <w:rFonts w:ascii="TimesNewRomanPSMT" w:hAnsi="TimesNewRomanPSMT" w:cs="TimesNewRomanPSMT"/>
                <w:sz w:val="29"/>
                <w:szCs w:val="29"/>
              </w:rPr>
              <w:t xml:space="preserve"> </w:t>
            </w:r>
            <w:r>
              <w:rPr>
                <w:rFonts w:ascii="TimesNewRomanPSMT" w:hAnsi="TimesNewRomanPSMT" w:cs="TimesNewRomanPSMT"/>
                <w:sz w:val="29"/>
                <w:szCs w:val="29"/>
              </w:rPr>
              <w:t>pared.</w:t>
            </w:r>
          </w:p>
        </w:tc>
      </w:tr>
    </w:tbl>
    <w:p w:rsidR="00F30319" w:rsidRDefault="00281D63" w:rsidP="0033339B">
      <w:r>
        <w:lastRenderedPageBreak/>
        <w:t xml:space="preserve"> </w:t>
      </w:r>
    </w:p>
    <w:sectPr w:rsidR="00F30319" w:rsidSect="00A22B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4912B4"/>
    <w:multiLevelType w:val="hybridMultilevel"/>
    <w:tmpl w:val="FE2447BC"/>
    <w:lvl w:ilvl="0" w:tplc="1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551D29"/>
    <w:multiLevelType w:val="hybridMultilevel"/>
    <w:tmpl w:val="7E3645C2"/>
    <w:lvl w:ilvl="0" w:tplc="EC6C6D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E0358"/>
    <w:rsid w:val="000A1D0B"/>
    <w:rsid w:val="00281D63"/>
    <w:rsid w:val="002E0358"/>
    <w:rsid w:val="0033339B"/>
    <w:rsid w:val="0033557B"/>
    <w:rsid w:val="005F208D"/>
    <w:rsid w:val="00695D5B"/>
    <w:rsid w:val="0074531B"/>
    <w:rsid w:val="00772DCD"/>
    <w:rsid w:val="007D2B04"/>
    <w:rsid w:val="00A22B91"/>
    <w:rsid w:val="00A47CED"/>
    <w:rsid w:val="00B05755"/>
    <w:rsid w:val="00B12778"/>
    <w:rsid w:val="00C16182"/>
    <w:rsid w:val="00E02AE1"/>
    <w:rsid w:val="00EB4C6A"/>
    <w:rsid w:val="00F30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B9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6182"/>
    <w:pPr>
      <w:ind w:left="720"/>
      <w:contextualSpacing/>
    </w:pPr>
  </w:style>
  <w:style w:type="table" w:styleId="Tablaconcuadrcula">
    <w:name w:val="Table Grid"/>
    <w:basedOn w:val="Tablanormal"/>
    <w:uiPriority w:val="59"/>
    <w:rsid w:val="000A1D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1648</Words>
  <Characters>9068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emergencia</dc:creator>
  <cp:lastModifiedBy>emergencia</cp:lastModifiedBy>
  <cp:revision>7</cp:revision>
  <cp:lastPrinted>2022-04-29T11:24:00Z</cp:lastPrinted>
  <dcterms:created xsi:type="dcterms:W3CDTF">2022-02-12T00:51:00Z</dcterms:created>
  <dcterms:modified xsi:type="dcterms:W3CDTF">2022-04-29T11:31:00Z</dcterms:modified>
</cp:coreProperties>
</file>