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6BEC33" wp14:paraId="70EE8C7E" wp14:textId="6FCB81B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Business Report: Home-Field Advantage in the Patrick Mahomes NFL Era</w:t>
      </w:r>
    </w:p>
    <w:p xmlns:wp14="http://schemas.microsoft.com/office/word/2010/wordml" w:rsidP="596BEC33" wp14:paraId="6608B729" wp14:textId="0B4572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this project I analyzed an NFL dataset covering the Patrick Mahomes era using Tableau, with the main goal of understanding home-field advantage and how game outcomes vary by location, season, and game type. I created several calculated fields (such as </w:t>
      </w:r>
      <w:r w:rsidRPr="596BEC33" w:rsidR="6DCC876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Win Side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96BEC33" w:rsidR="6DCC876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Home Win Flag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96BEC33" w:rsidR="6DCC876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Season Type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596BEC33" w:rsidR="6DCC876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Score Differential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and used them to build dashboards that summarize win rates and score patterns across the league.</w:t>
      </w:r>
    </w:p>
    <w:p xmlns:wp14="http://schemas.microsoft.com/office/word/2010/wordml" w:rsidP="596BEC33" wp14:paraId="6FC2A26D" wp14:textId="2E57C1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first view looked at overall home vs away win rate. By classifying each game as a home or away win and calculating the percentage of total wins,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found that home teams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win about 54–55% of the time, while away teams win about 45–46%. This confirms that even in the modern NFL, home-field advantage is real and meaningful, not just a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perception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From a business perspective, this supports the value of home games for ticket sales, fan engagement, and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potential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pricing—there is a slightly higher probability that the home crowd gets to see a win.</w:t>
      </w:r>
    </w:p>
    <w:p xmlns:wp14="http://schemas.microsoft.com/office/word/2010/wordml" w:rsidP="596BEC33" wp14:paraId="4BC27B88" wp14:textId="21670CF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Next, I built a distribution of score differentials using a histogram of the margin of victory (team score minus opponent score). Most games cluster around small differentials between roughly –10 and +10 points, with the tallest bars on the slightly positive side. This means that the league is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generally competitive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games are often decided by one or two scores. For a franchise like the Chiefs, this highlights how important situational decisions (4th-down calls, clock management, and playcalling in close games) can be, because a large share of games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tight rather than blowouts.</w:t>
      </w:r>
    </w:p>
    <w:p xmlns:wp14="http://schemas.microsoft.com/office/word/2010/wordml" w:rsidP="596BEC33" wp14:paraId="40F7D53F" wp14:textId="78E878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 then examined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home win percentage by season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during the Mahomes era. The line chart shows home win rate starting close to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60% in 2018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dipping to a low around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50% in 2020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then climbing back into the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mid-50s by 2022–2023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This pattern could be related to factors like roster changes, COVID-era attendance restrictions, or changes in offensive/defensive schemes. For the business side of an NFL team, the recovery in recent seasons is important—sustained home success helps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fan excitement, renew season tickets, and support premium pricing.</w:t>
      </w:r>
    </w:p>
    <w:p xmlns:wp14="http://schemas.microsoft.com/office/word/2010/wordml" w:rsidP="596BEC33" wp14:paraId="454367F8" wp14:textId="73DD46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compare pressure environments, I built a bar chart of home win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rates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the regular season vs the playoffs. Using the </w:t>
      </w:r>
      <w:r w:rsidRPr="596BEC33" w:rsidR="6DCC8769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Season Type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field,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found that home teams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win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roughly 54%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the time in the regular season but about 61% of the time in the playoffs. This suggests that home-field advantage becomes even stronger in the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postseason, when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crowds are louder and every game is high stakes. For an organization, this reinforces why securing home playoff games is strategically critical: it not only adds extra revenue from hosting but also increases the probability of advancing.</w:t>
      </w:r>
    </w:p>
    <w:p xmlns:wp14="http://schemas.microsoft.com/office/word/2010/wordml" w:rsidP="596BEC33" wp14:paraId="6ED48A3B" wp14:textId="26B483B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Finally, I created a “Top Teams by Home Win %” view, ranking franchises by their home success during this era. The chart shows Kansas City (KC) at the top with a home win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rate of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around 76%, ahead of other strong home teams like Green Bay and Dallas. This positions the Chiefs as one of the most dominant home franchises in the league. From a business angle, that kind of performance justifies strong brand positioning, robust demand for home tickets, and continued investment in fan experience at Arrowhead Stadium.</w:t>
      </w:r>
    </w:p>
    <w:p xmlns:wp14="http://schemas.microsoft.com/office/word/2010/wordml" w:rsidP="596BEC33" wp14:paraId="41FF0F18" wp14:textId="29C313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Overall, this project shows that home-field 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advantages are</w:t>
      </w:r>
      <w:r w:rsidRPr="596BEC33" w:rsidR="6DCC87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both statistically real and commercially significant. Using Tableau allowed me to translate raw play-by-play data into clear visual insights on win rates, score margins, and playoff performance. For a front office or business operations team, these findings support strategies that prioritize maximizing home-game value—on the field through game planning, and off the field through pricing, marketing, and fan engagement.</w:t>
      </w:r>
    </w:p>
    <w:p xmlns:wp14="http://schemas.microsoft.com/office/word/2010/wordml" wp14:paraId="2C078E63" wp14:textId="338CD3F1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9B1BBB"/>
    <w:rsid w:val="019B1BBB"/>
    <w:rsid w:val="596BEC33"/>
    <w:rsid w:val="6DCC8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1BBB"/>
  <w15:chartTrackingRefBased/>
  <w15:docId w15:val="{5592B1A0-0021-4359-9D66-78CF9602A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2025-12-11T16:05:51.5757762Z</dcterms:created>
  <dcterms:modified xsi:type="dcterms:W3CDTF">2025-12-11T16:06:34.2364271Z</dcterms:modified>
  <dc:creator>Donley, Connor</dc:creator>
  <lastModifiedBy>Donley, Connor</lastModifiedBy>
</coreProperties>
</file>