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243B"/>
          <w:sz w:val="44"/>
        </w:rPr>
        <w:t>ClauseGuard 合同智能审查系统</w:t>
      </w:r>
    </w:p>
    <w:p>
      <w:pPr>
        <w:jc w:val="center"/>
      </w:pPr>
      <w:r>
        <w:rPr>
          <w:rFonts w:ascii="微软雅黑" w:hAnsi="微软雅黑" w:eastAsia="微软雅黑"/>
          <w:b/>
          <w:color w:val="17243B"/>
          <w:sz w:val="44"/>
        </w:rPr>
        <w:t>系统功能方案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版本：V1.0    编制日期：2025年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1.1 项目背景</w:t>
      </w:r>
    </w:p>
    <w:p>
      <w:r>
        <w:rPr>
          <w:rFonts w:ascii="微软雅黑" w:hAnsi="微软雅黑" w:eastAsia="微软雅黑"/>
          <w:b w:val="0"/>
          <w:sz w:val="22"/>
        </w:rPr>
        <w:t>律师事务所日常需要处理大量合同文本的合规性审查工作。传统人工审查方式效率低、成本高、易遗漏，尤其对合同条款的违法违规风险、缺失条款、不利条款等难以做到系统性覆盖。ClauseGuard旨在构建一套面向律所办公人员的合同智能审查系统，辅助律师快速、准确、全面地完成合同违法违规审查，提升审查效率与质量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1.2 建设目标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建立合同文本结构化解析能力，支持Word、PDF、扫描件等多格式合同导入。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构建法律规则库与风险条款知识库，实现违法违规条款、缺失条款、风险条款的自动识别。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提供人机协同的审查工作台，支持审查结果确认、批注、修改建议与报告导出。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实现审查全流程留痕，满足律所内部质控与保密管理要求。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1.3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律所办公人员/律师助理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上传合同、发起审查、查看审查结果、导出报告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执业律师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复核审查结果、确认风险意见、出具修改建议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知识库管理员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维护法律法规条款库、风险规则、合同模板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系统管理员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用户与权限管理、系统配置、审计日志管理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二、总体架构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2.1 系统架构说明</w:t>
      </w:r>
    </w:p>
    <w:p>
      <w:r>
        <w:rPr>
          <w:rFonts w:ascii="微软雅黑" w:hAnsi="微软雅黑" w:eastAsia="微软雅黑"/>
          <w:b w:val="0"/>
          <w:sz w:val="22"/>
        </w:rPr>
        <w:t>系统采用B/S架构，分为四层：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接入层：Web端工作台，面向律所办公人员提供交互界面。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应用层：合同管理、智能审查、风险研判、报告生成、协同批注等业务模块。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智能层：合同要素抽取（NER）、条款分类、规则引擎、大模型辅助研判（LLM+RAG）等AI能力。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数据层：合同文件库、结构化条款库、法律法规库、风险规则库、审查记录库。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2.2 技术选型建议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层面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建议技术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Vue3 + Element Plus，富文本与批注组件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Java Spring Boot / Python FastAPI 微服务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文档解析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Apache Tika、pdfplumber、OCR（PaddleOCR）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AI能力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大模型（私有化部署）+ RAG检索增强 + 规则引擎（Drools）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PostgreSQL + Elasticsearch（全文检索）+ MinIO（文件存储）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向量检索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Milvus / pgvector，用于相似案例与法条召回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三、核心功能模块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3.1 合同上传与解析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多格式支持：DOCX、PDF、扫描图片（OCR识别）。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自动版式分析：识别标题、条款层级、签署栏、附件、骑缝章区域。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条款切分与编号还原：将合同拆分为条款树，保留原始条款编号。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批量上传与文件夹导入，支持拖拽上传与进度显示。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3.2 合同要素抽取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抽取合同主体（甲方/乙方/丙方）、合同类型、标的金额、履行期限、签署日期等关键要素。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自动识别合同类型（买卖、租赁、服务、借款、劳动、保密、知识产权等常见类别）。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要素抽取结果可人工修正，修正数据回流用于模型优化。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3.3 智能合规审查</w:t>
      </w:r>
    </w:p>
    <w:p>
      <w:r>
        <w:rPr>
          <w:rFonts w:ascii="微软雅黑" w:hAnsi="微软雅黑" w:eastAsia="微软雅黑"/>
          <w:b w:val="0"/>
          <w:sz w:val="22"/>
        </w:rPr>
        <w:t>本模块为系统核心，从以下维度开展审查：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审查维度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违法违规审查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对照《民法典》《公司法》《劳动合同法》《反垄断法》及行业监管规定，识别无效条款、违法条款（如免除己方责任、加重对方责任、排除对方主要权利的格式条款）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缺失条款审查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依据合同类型对照必备条款清单，提示缺失的违约责任、争议解决、保密、知识产权归属等条款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风险条款审查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识别对己方明显不利的条款：无限连带责任、单方解除权失衡、过高违约金、不利管辖约定等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条款冲突审查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检测合同内部条款之间的矛盾（如付款期限前后不一致、定义冲突）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主体资质审查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核查主体信息完整性、统一社会信用代码格式、超越经营范围风险提示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格式规范审查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金额大小写不一致、日期格式错误、错别字、引用法条已废止等规范性问题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  <w:sz w:val="22"/>
        </w:rPr>
        <w:t>审查方式：规则引擎精确匹配 + 大模型语义研判（RAG召回相关法条与案例）。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每条审查结果给出：风险等级（高/中/低）、涉及条款定位（原文高亮）、法律依据（法条原文）、修改建议。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3.4 审查工作台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左侧合同原文与条款树，右侧审查结果列表，点击结果自动定位并高亮原文条款。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逐条确认/驳回/忽略审查意见，支持补充人工意见。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在线批注与修订建议（模拟Word修订模式），可导出带批注版合同。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风险汇总看板：按风险等级、条款类型统计，一屏掌握整体风险状况。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3.5 审查报告生成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一键生成《合同审查报告》，包含合同基本信息、审查结论、风险清单、逐条法律依据与修改建议。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报告模板可自定义（律所LOGO、报告样式）。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支持导出Word/PDF格式，带修订痕迹版与干净版两种合同文本输出。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3.6 法律法规与知识库管理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法律法规库：支持国家法律法规、部门规章、地方性法规的录入与更新，含法条层级结构。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风险规则库：可视化配置审查规则（关键词规则、正则规则、要素组合规则、大模型提示词规则）。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合同模板库：维护各类标准合同模板，审查时可与模板差异比对。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知识库版本管理与生效日期控制，保证法律依据引用的时效性。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3.7 协同与流程管理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审查任务分配：指定审查人、复核人，支持任务流转与催办。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多轮审查留痕：记录每轮审查意见与处理结果，形成审查履历。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消息通知：任务分配、审查完成、逾期提醒。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3.8 系统管理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用户、角色、权限管理（RBAC），支持部门/团队层级。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操作审计日志：登录、上传、查看、导出、删除全量留痕。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数据保密：合同文件加密存储、敏感信息脱敏、水印导出。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私有化部署支持，数据不出律所内网。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四、非功能需求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性能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单份50页以内合同解析+审查应在3分钟内完成；支持50人并发在线使用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安全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传输HTTPS、存储加密（AES-256）、权限最小化、水印与防截屏提示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可用性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系统可用率≥99.5%，关键数据每日备份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可扩展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规则库、模型能力支持插件式扩展，便于新增合同类型与法律领域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合规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符合《个人信息保护法》《数据安全法》及律师保密义务要求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五、实施规划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周期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交付内容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第一期（MVP）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2-3个月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合同上传解析、要素抽取、核心违法条款规则审查、审查报告导出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第二期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2个月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大模型RAG研判、缺失条款审查、审查工作台、知识库管理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第三期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2个月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1"/>
              </w:rPr>
              <w:t>协同流程、模板比对、统计看板、安全加固与私有化部署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六、风险与应对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应对措施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AI研判结果存在幻觉或不准确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采用RAG强制引用法条原文，审查结果须经律师确认，明确系统定位为辅助工具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法规更新不及时导致误判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建立法规库定期更新机制与版本追溯，引用时校验时效性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合同涉密数据安全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全流程私有化部署、加密存储、细粒度权限与审计留痕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各类合同格式差异大导致解析失败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保留人工修正通道，解析失败样本回流持续优化解析模型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