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5D59B">
      <w:pPr>
        <w:spacing w:beforeLines="0" w:afterLines="0" w:line="600" w:lineRule="exact"/>
        <w:jc w:val="center"/>
        <w:rPr>
          <w:rFonts w:hint="eastAsia" w:ascii="Times New Roman" w:hAnsi="Times New Roman" w:eastAsia="方正小标宋_GBK"/>
          <w:sz w:val="44"/>
          <w:szCs w:val="44"/>
        </w:rPr>
      </w:pPr>
      <w:r>
        <w:rPr>
          <w:rFonts w:hint="eastAsia" w:ascii="Times New Roman" w:hAnsi="Times New Roman" w:eastAsia="方正小标宋_GBK"/>
          <w:sz w:val="44"/>
          <w:szCs w:val="44"/>
          <w:lang w:eastAsia="zh"/>
        </w:rPr>
        <w:t>全国医保影像AI识图大赛</w:t>
      </w:r>
      <w:r>
        <w:rPr>
          <w:rFonts w:hint="default" w:ascii="Times New Roman" w:hAnsi="Times New Roman" w:eastAsia="方正小标宋_GBK"/>
          <w:sz w:val="44"/>
          <w:szCs w:val="44"/>
        </w:rPr>
        <w:br w:type="textWrapping"/>
      </w:r>
      <w:r>
        <w:rPr>
          <w:rFonts w:hint="eastAsia" w:ascii="Times New Roman" w:hAnsi="Times New Roman" w:eastAsia="方正小标宋_GBK"/>
          <w:sz w:val="44"/>
          <w:szCs w:val="44"/>
          <w:lang w:eastAsia="zh"/>
        </w:rPr>
        <w:t>赛事开发规范</w:t>
      </w:r>
      <w:r>
        <w:rPr>
          <w:rFonts w:hint="eastAsia" w:ascii="Times New Roman" w:hAnsi="Times New Roman" w:eastAsia="方正小标宋_GBK"/>
          <w:sz w:val="44"/>
          <w:szCs w:val="44"/>
        </w:rPr>
        <w:t>（赛道</w:t>
      </w:r>
      <w:r>
        <w:rPr>
          <w:rFonts w:hint="eastAsia" w:ascii="Times New Roman" w:hAnsi="Times New Roman" w:eastAsia="方正小标宋_GBK"/>
          <w:sz w:val="44"/>
          <w:szCs w:val="44"/>
          <w:lang w:val="en-US" w:eastAsia="zh-CN"/>
        </w:rPr>
        <w:t>七</w:t>
      </w:r>
      <w:r>
        <w:rPr>
          <w:rFonts w:hint="eastAsia" w:ascii="Times New Roman" w:hAnsi="Times New Roman" w:eastAsia="方正小标宋_GBK"/>
          <w:sz w:val="44"/>
          <w:szCs w:val="44"/>
        </w:rPr>
        <w:t>）</w:t>
      </w:r>
    </w:p>
    <w:p w14:paraId="4B90C2A9">
      <w:pPr>
        <w:spacing w:beforeLines="0" w:afterLines="0"/>
        <w:jc w:val="center"/>
        <w:rPr>
          <w:rFonts w:hint="default"/>
          <w:sz w:val="21"/>
          <w:szCs w:val="24"/>
        </w:rPr>
      </w:pPr>
    </w:p>
    <w:p w14:paraId="54B65E72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br w:type="textWrapping"/>
      </w:r>
      <w:r>
        <w:rPr>
          <w:rFonts w:hint="default"/>
          <w:sz w:val="21"/>
          <w:szCs w:val="24"/>
        </w:rPr>
        <w:br w:type="textWrapping"/>
      </w:r>
      <w:bookmarkStart w:id="0" w:name="_GoBack"/>
      <w:bookmarkEnd w:id="0"/>
    </w:p>
    <w:p w14:paraId="73AB19CC">
      <w:pPr>
        <w:spacing w:beforeLines="0" w:afterLines="0"/>
        <w:rPr>
          <w:rFonts w:hint="default"/>
          <w:sz w:val="21"/>
          <w:szCs w:val="24"/>
        </w:rPr>
      </w:pPr>
    </w:p>
    <w:p w14:paraId="054DD5AF">
      <w:pPr>
        <w:spacing w:beforeLines="0" w:afterLines="0"/>
        <w:rPr>
          <w:rFonts w:hint="default"/>
          <w:sz w:val="21"/>
          <w:szCs w:val="24"/>
        </w:rPr>
      </w:pPr>
    </w:p>
    <w:p w14:paraId="1D469341">
      <w:pPr>
        <w:spacing w:beforeLines="0" w:afterLines="0"/>
        <w:rPr>
          <w:rFonts w:hint="default"/>
          <w:sz w:val="21"/>
          <w:szCs w:val="24"/>
        </w:rPr>
      </w:pPr>
    </w:p>
    <w:p w14:paraId="24F504A7">
      <w:pPr>
        <w:spacing w:beforeLines="0" w:afterLines="0"/>
        <w:rPr>
          <w:rFonts w:hint="default"/>
          <w:sz w:val="21"/>
          <w:szCs w:val="24"/>
        </w:rPr>
      </w:pPr>
    </w:p>
    <w:p w14:paraId="2A3EC7D2">
      <w:pPr>
        <w:spacing w:beforeLines="0" w:afterLines="0"/>
        <w:rPr>
          <w:rFonts w:hint="default"/>
          <w:sz w:val="21"/>
          <w:szCs w:val="24"/>
        </w:rPr>
      </w:pPr>
    </w:p>
    <w:p w14:paraId="756E08F8">
      <w:pPr>
        <w:spacing w:beforeLines="0" w:afterLines="0"/>
        <w:rPr>
          <w:rFonts w:hint="default"/>
          <w:sz w:val="21"/>
          <w:szCs w:val="24"/>
        </w:rPr>
      </w:pPr>
    </w:p>
    <w:p w14:paraId="2FAB469A">
      <w:pPr>
        <w:spacing w:beforeLines="0" w:afterLines="0"/>
        <w:rPr>
          <w:rFonts w:hint="default"/>
          <w:sz w:val="21"/>
          <w:szCs w:val="24"/>
        </w:rPr>
      </w:pPr>
    </w:p>
    <w:p w14:paraId="09B8C73F">
      <w:pPr>
        <w:spacing w:beforeLines="0" w:afterLines="0"/>
        <w:rPr>
          <w:rFonts w:hint="default"/>
          <w:sz w:val="21"/>
          <w:szCs w:val="24"/>
        </w:rPr>
      </w:pPr>
    </w:p>
    <w:p w14:paraId="7265973A">
      <w:pPr>
        <w:spacing w:beforeLines="0" w:afterLines="0"/>
        <w:rPr>
          <w:rFonts w:hint="default"/>
          <w:sz w:val="21"/>
          <w:szCs w:val="24"/>
        </w:rPr>
      </w:pPr>
    </w:p>
    <w:p w14:paraId="76831400">
      <w:pPr>
        <w:spacing w:beforeLines="0" w:afterLines="0"/>
        <w:rPr>
          <w:rFonts w:hint="default"/>
          <w:sz w:val="21"/>
          <w:szCs w:val="24"/>
        </w:rPr>
      </w:pPr>
    </w:p>
    <w:p w14:paraId="4F1244E8">
      <w:pPr>
        <w:spacing w:beforeLines="0" w:afterLines="0"/>
        <w:rPr>
          <w:rFonts w:hint="default"/>
          <w:sz w:val="21"/>
          <w:szCs w:val="24"/>
        </w:rPr>
      </w:pPr>
    </w:p>
    <w:p w14:paraId="4D12409F">
      <w:pPr>
        <w:spacing w:beforeLines="0" w:afterLines="0"/>
        <w:rPr>
          <w:rFonts w:hint="default"/>
          <w:sz w:val="21"/>
          <w:szCs w:val="24"/>
        </w:rPr>
      </w:pPr>
    </w:p>
    <w:p w14:paraId="125B1446">
      <w:pPr>
        <w:spacing w:beforeLines="0" w:afterLines="0"/>
        <w:rPr>
          <w:rFonts w:hint="default"/>
          <w:sz w:val="21"/>
          <w:szCs w:val="24"/>
        </w:rPr>
      </w:pPr>
    </w:p>
    <w:p w14:paraId="1AE07B33">
      <w:pPr>
        <w:spacing w:beforeLines="0" w:afterLines="0"/>
        <w:rPr>
          <w:rFonts w:hint="default"/>
          <w:sz w:val="21"/>
          <w:szCs w:val="24"/>
        </w:rPr>
      </w:pPr>
    </w:p>
    <w:p w14:paraId="14506348">
      <w:pPr>
        <w:spacing w:beforeLines="0" w:afterLines="0"/>
        <w:rPr>
          <w:rFonts w:hint="default"/>
          <w:sz w:val="21"/>
          <w:szCs w:val="24"/>
        </w:rPr>
      </w:pPr>
    </w:p>
    <w:p w14:paraId="2EA950B4">
      <w:pPr>
        <w:spacing w:beforeLines="0" w:afterLines="0"/>
        <w:rPr>
          <w:rFonts w:hint="default"/>
          <w:sz w:val="21"/>
          <w:szCs w:val="24"/>
        </w:rPr>
      </w:pPr>
    </w:p>
    <w:p w14:paraId="797BE2ED">
      <w:pPr>
        <w:spacing w:beforeLines="0" w:afterLines="0"/>
        <w:rPr>
          <w:rFonts w:hint="default"/>
          <w:sz w:val="21"/>
          <w:szCs w:val="24"/>
        </w:rPr>
      </w:pPr>
    </w:p>
    <w:p w14:paraId="361B8C9D">
      <w:pPr>
        <w:spacing w:beforeLines="0" w:afterLines="0"/>
        <w:rPr>
          <w:rFonts w:hint="default"/>
          <w:sz w:val="21"/>
          <w:szCs w:val="24"/>
        </w:rPr>
      </w:pPr>
    </w:p>
    <w:p w14:paraId="0BF82772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br w:type="textWrapping"/>
      </w:r>
    </w:p>
    <w:p w14:paraId="67720BF7">
      <w:pPr>
        <w:spacing w:beforeLines="0" w:afterLines="0" w:line="600" w:lineRule="exact"/>
        <w:jc w:val="center"/>
        <w:rPr>
          <w:rFonts w:hint="default" w:ascii="Times New Roman" w:hAnsi="Times New Roman" w:eastAsia="仿宋_GB2312"/>
          <w:sz w:val="28"/>
          <w:szCs w:val="28"/>
        </w:rPr>
      </w:pPr>
      <w:r>
        <w:rPr>
          <w:rFonts w:hint="eastAsia" w:ascii="Times New Roman" w:hAnsi="Times New Roman" w:eastAsia="仿宋_GB2312"/>
          <w:sz w:val="28"/>
          <w:szCs w:val="28"/>
        </w:rPr>
        <w:t>编制单位：</w:t>
      </w:r>
      <w:r>
        <w:rPr>
          <w:rFonts w:hint="eastAsia" w:ascii="Times New Roman" w:hAnsi="Times New Roman" w:eastAsia="仿宋_GB2312"/>
          <w:sz w:val="28"/>
          <w:szCs w:val="28"/>
          <w:lang w:eastAsia="zh"/>
        </w:rPr>
        <w:t>全国医保影像AI识图大赛技术保障组</w:t>
      </w:r>
      <w:r>
        <w:rPr>
          <w:rFonts w:hint="default" w:ascii="Times New Roman" w:hAnsi="Times New Roman" w:eastAsia="仿宋_GB2312"/>
          <w:sz w:val="28"/>
          <w:szCs w:val="28"/>
        </w:rPr>
        <w:br w:type="textWrapping"/>
      </w:r>
      <w:r>
        <w:rPr>
          <w:rFonts w:hint="eastAsia" w:ascii="Times New Roman" w:hAnsi="Times New Roman" w:eastAsia="仿宋_GB2312"/>
          <w:sz w:val="28"/>
          <w:szCs w:val="28"/>
        </w:rPr>
        <w:t>编制日期：2026年7月</w:t>
      </w:r>
    </w:p>
    <w:p w14:paraId="293008D5">
      <w:pPr>
        <w:pStyle w:val="2"/>
        <w:numPr>
          <w:ilvl w:val="0"/>
          <w:numId w:val="1"/>
        </w:numPr>
        <w:tabs>
          <w:tab w:val="left" w:pos="0"/>
        </w:tabs>
        <w:spacing w:before="340" w:after="330" w:line="560" w:lineRule="exact"/>
        <w:rPr>
          <w:rFonts w:hint="eastAsia" w:ascii="黑体" w:hAnsi="黑体" w:eastAsia="黑体" w:cs="黑体"/>
          <w:b w:val="0"/>
          <w:sz w:val="32"/>
          <w:szCs w:val="32"/>
          <w:lang w:eastAsia="zh"/>
        </w:rPr>
      </w:pPr>
      <w:r>
        <w:rPr>
          <w:rFonts w:hint="eastAsia" w:ascii="黑体" w:hAnsi="黑体" w:eastAsia="黑体" w:cs="黑体"/>
          <w:b w:val="0"/>
          <w:sz w:val="32"/>
          <w:szCs w:val="32"/>
          <w:lang w:eastAsia="zh"/>
        </w:rPr>
        <w:t>日志输出规范</w:t>
      </w:r>
    </w:p>
    <w:p w14:paraId="742DD10C">
      <w:pPr>
        <w:spacing w:beforeLines="0" w:line="600" w:lineRule="exact"/>
        <w:ind w:firstLine="560" w:firstLineChars="200"/>
        <w:rPr>
          <w:rFonts w:hint="eastAsia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根据赛事审查要求，参赛队伍</w:t>
      </w:r>
      <w:r>
        <w:rPr>
          <w:rFonts w:hint="eastAsia" w:ascii="Calibri" w:hAnsi="Calibri" w:eastAsia="仿宋_GB2312"/>
          <w:color w:val="FF0000"/>
          <w:sz w:val="28"/>
          <w:szCs w:val="28"/>
        </w:rPr>
        <w:t>必须</w:t>
      </w:r>
      <w:r>
        <w:rPr>
          <w:rFonts w:hint="eastAsia" w:ascii="Calibri" w:hAnsi="Calibri" w:eastAsia="仿宋_GB2312"/>
          <w:sz w:val="28"/>
          <w:szCs w:val="28"/>
        </w:rPr>
        <w:t>采用JSON Lines (JSONL)格式输出训练日志，每行一个有效的JSON对象，如未能读取到指定日志文件，则可能被标记为可疑对象，一切后果需参赛队伍自负。日志路径必须为：/2026aicompetition/workspace/logs，如图所示：</w:t>
      </w:r>
    </w:p>
    <w:p w14:paraId="2189D9B7">
      <w:pPr>
        <w:spacing w:beforeLines="0" w:after="100" w:afterAutospacing="1"/>
        <w:rPr>
          <w:rFonts w:hint="default" w:ascii="Calibri" w:hAnsi="Calibri" w:eastAsia="仿宋_GB2312"/>
          <w:sz w:val="28"/>
          <w:szCs w:val="28"/>
        </w:rPr>
      </w:pPr>
      <w:r>
        <w:rPr>
          <w:rFonts w:hint="default" w:ascii="Calibri" w:hAnsi="Calibri" w:eastAsia="仿宋_GB2312"/>
          <w:sz w:val="28"/>
          <w:szCs w:val="28"/>
        </w:rPr>
        <w:drawing>
          <wp:inline distT="0" distB="0" distL="114300" distR="114300">
            <wp:extent cx="5246370" cy="509270"/>
            <wp:effectExtent l="0" t="0" r="1905" b="5080"/>
            <wp:docPr id="13" name="图片 6" descr="764e88e6-ce88-4019-81d2-4b77268a4f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 descr="764e88e6-ce88-4019-81d2-4b77268a4f6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960E9">
      <w:pPr>
        <w:spacing w:beforeLines="0" w:line="600" w:lineRule="exact"/>
        <w:ind w:firstLine="560" w:firstLineChars="200"/>
        <w:rPr>
          <w:rFonts w:hint="eastAsia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一个规范的日志条目应包含以下字段：</w:t>
      </w:r>
    </w:p>
    <w:tbl>
      <w:tblPr>
        <w:tblStyle w:val="6"/>
        <w:tblW w:w="4865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6"/>
        <w:gridCol w:w="1323"/>
        <w:gridCol w:w="992"/>
        <w:gridCol w:w="2451"/>
        <w:gridCol w:w="2225"/>
      </w:tblGrid>
      <w:tr w14:paraId="6F6117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A0248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  <w:t>字段名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7CF96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2C39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  <w:t>必填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F5448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  <w:t>说明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AB4F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  <w:t>示例</w:t>
            </w:r>
          </w:p>
        </w:tc>
      </w:tr>
      <w:tr w14:paraId="2FBBE4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0AFDA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timestamp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F63D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string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2A4D4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是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BFB9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ISO 8601格式的时间戳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93D58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2025-04-28T10:30:00.123Z</w:t>
            </w:r>
          </w:p>
        </w:tc>
      </w:tr>
      <w:tr w14:paraId="0EA63B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1AEBE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epoch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E9803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integer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2E718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是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3C67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当前训练轮次（从1开始）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3A0D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14:paraId="6534C2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83A15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step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4902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integer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4332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是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7526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当前迭代步数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7F6D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1000</w:t>
            </w:r>
          </w:p>
        </w:tc>
      </w:tr>
      <w:tr w14:paraId="420677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5943A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phase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EB213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string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CE2F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是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34FDF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运行阶段：train, val, test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FC7AF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train</w:t>
            </w:r>
          </w:p>
        </w:tc>
      </w:tr>
      <w:tr w14:paraId="16F93F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77944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loss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716B0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float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9ADBD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否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D105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损失函数值（训练/验证阶段）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E4089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0.234</w:t>
            </w:r>
          </w:p>
        </w:tc>
      </w:tr>
      <w:tr w14:paraId="78C5D3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3B902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lr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F0A9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float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B4A68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否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4B846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当前学习率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4B5B7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0.001</w:t>
            </w:r>
          </w:p>
        </w:tc>
      </w:tr>
      <w:tr w14:paraId="2C05A5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BBCF5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mode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FCB9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string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2E329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是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6638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模型状态：training, inference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28036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training</w:t>
            </w:r>
          </w:p>
        </w:tc>
      </w:tr>
      <w:tr w14:paraId="7B30A7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AC37E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data_source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061AC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string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2178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是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64EA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数据来源标识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51992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official/train_v1</w:t>
            </w:r>
          </w:p>
        </w:tc>
      </w:tr>
      <w:tr w14:paraId="7A8A48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7B9E8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checkpoint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5719B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string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7E987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否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CFE00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保存的模型文件路径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A6286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checkpoints/model_epoch5.pth</w:t>
            </w:r>
          </w:p>
        </w:tc>
      </w:tr>
      <w:tr w14:paraId="326711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F884D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pretrained_from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2CD20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string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3AD05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否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CCE86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加载的预训练权重路径或来源标识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A42D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official/torchvision/resnet50</w:t>
            </w:r>
          </w:p>
        </w:tc>
      </w:tr>
    </w:tbl>
    <w:p w14:paraId="4092C93C">
      <w:pPr>
        <w:pStyle w:val="3"/>
        <w:numPr>
          <w:ilvl w:val="1"/>
          <w:numId w:val="1"/>
        </w:numPr>
        <w:tabs>
          <w:tab w:val="left" w:pos="0"/>
        </w:tabs>
        <w:spacing w:after="260"/>
        <w:rPr>
          <w:rFonts w:hint="eastAsia" w:ascii="楷体_GB2312" w:hAnsi="楷体_GB2312" w:eastAsia="楷体_GB2312" w:cs="楷体_GB2312"/>
          <w:b w:val="0"/>
          <w:sz w:val="32"/>
          <w:szCs w:val="22"/>
          <w:lang w:eastAsia="zh"/>
        </w:rPr>
      </w:pPr>
      <w:r>
        <w:rPr>
          <w:rFonts w:hint="eastAsia" w:ascii="楷体_GB2312" w:hAnsi="楷体_GB2312" w:eastAsia="楷体_GB2312" w:cs="楷体_GB2312"/>
          <w:b w:val="0"/>
          <w:sz w:val="32"/>
          <w:szCs w:val="22"/>
          <w:lang w:eastAsia="zh"/>
        </w:rPr>
        <w:t>日志输出样例</w:t>
      </w:r>
    </w:p>
    <w:p w14:paraId="2D3C704C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"2025-06-01T10:00:00.123Z", "epoch": 1, "step": 0, "phase": "train", "mode": "training", "loss": 2.345, "lr": 0.001, "data_source": "official/train_v1", "checkpoint": null}</w:t>
      </w:r>
    </w:p>
    <w:p w14:paraId="1875ADA4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"2025-06-01T10:00:15.456Z", "epoch": 1, "step": 100, "phase": "train", "mode": "training", "loss": 2.101, "lr": 0.001, "data_source": "official/train_v1", "checkpoint": null}</w:t>
      </w:r>
    </w:p>
    <w:p w14:paraId="3FE02108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"2025-06-01T10:05:00.789Z", "epoch": 1, "step": 200, "phase": "val", "mode": "training", "loss": 1.892, "lr": 0.001, "data_source": "official/val_v1",  "checkpoint": null}</w:t>
      </w:r>
    </w:p>
    <w:p w14:paraId="44D76706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"2025-06-01T10:10:30.000Z", "epoch": 2, "step": 300, "phase": "train", "mode": "training", "loss": 1.745, "lr": 0.001, "data_source": "official/train_v1", "checkpoint": null}</w:t>
      </w:r>
    </w:p>
    <w:p w14:paraId="15D7449E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"2025-06-01T10:15:20.123Z", "epoch": 2, "step": 400, "phase": "train", "mode": "training", "loss": 1.623, "lr": 0.001, "data_source": "official/train_v1", "checkpoint": null}</w:t>
      </w:r>
    </w:p>
    <w:p w14:paraId="7CFC380C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"2025-06-01T10:20:10.456Z", "epoch": 2, "step": 500, "phase": "val", "mode": "training", "loss": 1.498, "lr": 0.001, "data_source": "official/val_v1", "checkpoint": null}</w:t>
      </w:r>
    </w:p>
    <w:p w14:paraId="72A2E02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"2025-06-01T10:30:00.000Z", "epoch": 3, "step": 600, "phase": "train", "mode": "training", "loss": 1.234, "lr": 0.0008, "data_source": "official/train_v1", "checkpoint": null}</w:t>
      </w:r>
    </w:p>
    <w:p w14:paraId="30FBA3CD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"2025-06-01T10:40:00.000Z", "epoch": 3, "step": 700, "phase": "val", "mode": "training", "loss": 1.123, "lr": 0.0008, "data_source": "official/val_v1","checkpoint": "checkpoints/model_epoch3.pth"}</w:t>
      </w:r>
    </w:p>
    <w:p w14:paraId="46DF0297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"2025-06-01T11:00:00.000Z", "epoch": 5, "step": 1000, "phase": "val", "mode": "training", "loss": 0.876, "lr": 0.0005, "data_source": "official/val_v1", "checkpoint": "checkpoints/best_model.pth"}</w:t>
      </w:r>
    </w:p>
    <w:p w14:paraId="0F9613AC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"2025-06-01T12:00:00.000Z", "epoch": null, "step": null, "phase": "test", "mode": "inference", "loss": null, "lr": null, "data_source": "official/test_v1", "checkpoint": null}</w:t>
      </w:r>
    </w:p>
    <w:p w14:paraId="33E69FF3">
      <w:pPr>
        <w:pStyle w:val="2"/>
        <w:numPr>
          <w:ilvl w:val="0"/>
          <w:numId w:val="1"/>
        </w:numPr>
        <w:tabs>
          <w:tab w:val="left" w:pos="0"/>
        </w:tabs>
        <w:spacing w:before="340" w:after="330" w:line="560" w:lineRule="exact"/>
        <w:rPr>
          <w:rFonts w:hint="eastAsia" w:ascii="黑体" w:hAnsi="黑体" w:eastAsia="黑体" w:cs="黑体"/>
          <w:b w:val="0"/>
          <w:sz w:val="32"/>
          <w:szCs w:val="32"/>
          <w:lang w:eastAsia="zh"/>
        </w:rPr>
      </w:pPr>
      <w:r>
        <w:rPr>
          <w:rFonts w:hint="eastAsia" w:ascii="黑体" w:hAnsi="黑体" w:eastAsia="黑体" w:cs="黑体"/>
          <w:b w:val="0"/>
          <w:sz w:val="32"/>
          <w:szCs w:val="32"/>
          <w:lang w:eastAsia="zh"/>
        </w:rPr>
        <w:t>推理服务api要求</w:t>
      </w:r>
    </w:p>
    <w:p w14:paraId="0D13A650">
      <w:pPr>
        <w:wordWrap w:val="0"/>
        <w:spacing w:beforeLines="0" w:after="100" w:afterAutospacing="1" w:line="600" w:lineRule="exact"/>
        <w:ind w:firstLine="560" w:firstLineChars="200"/>
        <w:rPr>
          <w:rFonts w:hint="default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参赛队伍应</w:t>
      </w:r>
      <w:r>
        <w:rPr>
          <w:rFonts w:hint="eastAsia" w:ascii="Calibri" w:hAnsi="Calibri" w:eastAsia="仿宋_GB2312"/>
          <w:color w:val="FF0000"/>
          <w:sz w:val="28"/>
          <w:szCs w:val="28"/>
        </w:rPr>
        <w:t>严格按照本节说明开发推理服务</w:t>
      </w:r>
      <w:r>
        <w:rPr>
          <w:rFonts w:hint="eastAsia" w:ascii="Calibri" w:hAnsi="Calibri" w:eastAsia="仿宋_GB2312"/>
          <w:sz w:val="28"/>
          <w:szCs w:val="28"/>
        </w:rPr>
        <w:t>，否则可能无法启动测评容器和参与评分，直接影响比赛成绩。</w:t>
      </w:r>
    </w:p>
    <w:p w14:paraId="2C9AAB4B">
      <w:pPr>
        <w:pStyle w:val="3"/>
        <w:numPr>
          <w:ilvl w:val="1"/>
          <w:numId w:val="1"/>
        </w:numPr>
        <w:tabs>
          <w:tab w:val="left" w:pos="0"/>
        </w:tabs>
        <w:spacing w:after="260"/>
        <w:rPr>
          <w:rFonts w:hint="default" w:ascii="Calibri" w:hAnsi="Calibri" w:eastAsia="仿宋_GB2312"/>
          <w:sz w:val="28"/>
          <w:szCs w:val="28"/>
        </w:rPr>
      </w:pPr>
      <w:r>
        <w:rPr>
          <w:rFonts w:hint="eastAsia" w:ascii="楷体_GB2312" w:hAnsi="楷体_GB2312" w:eastAsia="楷体_GB2312" w:cs="楷体_GB2312"/>
          <w:b w:val="0"/>
          <w:sz w:val="32"/>
          <w:szCs w:val="22"/>
          <w:lang w:eastAsia="zh"/>
        </w:rPr>
        <w:t>推理服务</w:t>
      </w:r>
      <w:r>
        <w:rPr>
          <w:rFonts w:hint="eastAsia" w:ascii="楷体_GB2312" w:hAnsi="楷体_GB2312" w:eastAsia="楷体_GB2312" w:cs="楷体_GB2312"/>
          <w:b w:val="0"/>
          <w:sz w:val="32"/>
          <w:szCs w:val="22"/>
        </w:rPr>
        <w:t>说明</w:t>
      </w:r>
    </w:p>
    <w:p w14:paraId="0FE0526D">
      <w:pPr>
        <w:wordWrap w:val="0"/>
        <w:spacing w:beforeLines="0" w:after="100" w:afterAutospacing="1" w:line="600" w:lineRule="exact"/>
        <w:ind w:firstLine="560" w:firstLineChars="200"/>
        <w:rPr>
          <w:rFonts w:hint="default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推理服务要求实现测评内容接收以及推理结果回调2个交互。</w:t>
      </w:r>
    </w:p>
    <w:p w14:paraId="3CBD10C1">
      <w:pPr>
        <w:wordWrap w:val="0"/>
        <w:spacing w:beforeLines="0" w:after="100" w:afterAutospacing="1" w:line="600" w:lineRule="exact"/>
        <w:rPr>
          <w:rFonts w:hint="default" w:ascii="Calibri" w:hAnsi="Calibri" w:eastAsia="仿宋_GB2312"/>
          <w:b/>
          <w:sz w:val="28"/>
          <w:szCs w:val="28"/>
        </w:rPr>
      </w:pPr>
      <w:r>
        <w:rPr>
          <w:rFonts w:hint="eastAsia" w:ascii="Calibri" w:hAnsi="Calibri" w:eastAsia="仿宋_GB2312"/>
          <w:b/>
          <w:sz w:val="28"/>
          <w:szCs w:val="28"/>
        </w:rPr>
        <w:t>交互一： 测评内容接收</w:t>
      </w:r>
    </w:p>
    <w:p w14:paraId="483F89EA">
      <w:pPr>
        <w:wordWrap w:val="0"/>
        <w:spacing w:beforeLines="0" w:after="100" w:afterAutospacing="1" w:line="600" w:lineRule="exact"/>
        <w:ind w:firstLine="560" w:firstLineChars="20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仿宋_GB2312"/>
          <w:sz w:val="28"/>
          <w:szCs w:val="28"/>
        </w:rPr>
        <w:t>选手需要提供HTTP推理服务，api接口路径固定为 /call ，端口固定为</w:t>
      </w:r>
      <w:r>
        <w:rPr>
          <w:rFonts w:hint="eastAsia" w:ascii="Calibri" w:hAnsi="Calibri" w:eastAsia="仿宋_GB2312"/>
          <w:sz w:val="28"/>
          <w:szCs w:val="28"/>
          <w:lang w:eastAsia="zh"/>
        </w:rPr>
        <w:t>8000</w:t>
      </w:r>
      <w:r>
        <w:rPr>
          <w:rFonts w:hint="eastAsia" w:ascii="Calibri" w:hAnsi="Calibri" w:eastAsia="仿宋_GB2312"/>
          <w:sz w:val="28"/>
          <w:szCs w:val="28"/>
        </w:rPr>
        <w:t>。提供</w:t>
      </w:r>
      <w:r>
        <w:rPr>
          <w:rFonts w:hint="default" w:ascii="Calibri" w:hAnsi="Calibri" w:eastAsia="仿宋_GB2312"/>
          <w:sz w:val="28"/>
          <w:szCs w:val="28"/>
        </w:rPr>
        <w:t>POST</w:t>
      </w:r>
      <w:r>
        <w:rPr>
          <w:rFonts w:hint="eastAsia" w:ascii="Calibri" w:hAnsi="Calibri" w:eastAsia="仿宋_GB2312"/>
          <w:sz w:val="28"/>
          <w:szCs w:val="28"/>
        </w:rPr>
        <w:t>调用方式</w:t>
      </w:r>
      <w:r>
        <w:rPr>
          <w:rFonts w:hint="eastAsia" w:ascii="Calibri" w:hAnsi="Calibri" w:eastAsia="仿宋_GB2312"/>
          <w:sz w:val="28"/>
          <w:szCs w:val="28"/>
          <w:lang w:eastAsia="zh"/>
        </w:rPr>
        <w:t>，content-type为</w:t>
      </w:r>
      <w:r>
        <w:rPr>
          <w:rFonts w:hint="eastAsia" w:ascii="Calibri" w:hAnsi="Calibri" w:eastAsia="仿宋_GB2312"/>
          <w:sz w:val="28"/>
          <w:szCs w:val="28"/>
        </w:rPr>
        <w:t>application/json，无认证权限拦截。</w:t>
      </w:r>
      <w:r>
        <w:rPr>
          <w:rFonts w:hint="eastAsia" w:ascii="Calibri" w:hAnsi="Calibri" w:eastAsia="仿宋_GB2312"/>
          <w:sz w:val="28"/>
          <w:szCs w:val="28"/>
          <w:lang w:eastAsia="zh"/>
        </w:rPr>
        <w:t>推理服务应采用异步响应的方式，</w:t>
      </w:r>
      <w:r>
        <w:rPr>
          <w:rFonts w:hint="eastAsia" w:ascii="Calibri" w:hAnsi="Calibri" w:eastAsia="仿宋_GB2312"/>
          <w:sz w:val="28"/>
          <w:szCs w:val="28"/>
        </w:rPr>
        <w:t>接收指定格式的</w:t>
      </w:r>
      <w:r>
        <w:rPr>
          <w:rFonts w:hint="default" w:ascii="Calibri" w:hAnsi="Calibri" w:eastAsia="仿宋_GB2312"/>
          <w:sz w:val="28"/>
          <w:szCs w:val="28"/>
        </w:rPr>
        <w:t>body</w:t>
      </w:r>
      <w:r>
        <w:rPr>
          <w:rFonts w:hint="eastAsia" w:ascii="Calibri" w:hAnsi="Calibri" w:eastAsia="仿宋_GB2312"/>
          <w:sz w:val="28"/>
          <w:szCs w:val="28"/>
        </w:rPr>
        <w:t>格式内容</w:t>
      </w:r>
      <w:r>
        <w:rPr>
          <w:rFonts w:hint="eastAsia" w:ascii="Calibri" w:hAnsi="Calibri" w:eastAsia="仿宋_GB2312"/>
          <w:sz w:val="28"/>
          <w:szCs w:val="28"/>
          <w:lang w:eastAsia="zh"/>
        </w:rPr>
        <w:t>，并立即响应以表示接受到推理请求（HTTP状态码回复200），系统请求选手推理服务接口5s后未收到响应将判定推理服务请求超时异常</w:t>
      </w:r>
      <w:r>
        <w:rPr>
          <w:rFonts w:hint="eastAsia" w:ascii="Calibri" w:hAnsi="Calibri" w:eastAsia="仿宋_GB2312"/>
          <w:sz w:val="28"/>
          <w:szCs w:val="28"/>
        </w:rPr>
        <w:t>。</w:t>
      </w:r>
      <w:r>
        <w:rPr>
          <w:rFonts w:hint="eastAsia" w:ascii="Calibri" w:hAnsi="Calibri" w:eastAsia="仿宋_GB2312"/>
          <w:sz w:val="28"/>
          <w:szCs w:val="28"/>
        </w:rPr>
        <w:br w:type="textWrapping"/>
      </w:r>
      <w:r>
        <w:rPr>
          <w:rFonts w:hint="eastAsia" w:ascii="Calibri" w:hAnsi="Calibri" w:eastAsia="仿宋_GB2312"/>
          <w:sz w:val="28"/>
          <w:szCs w:val="28"/>
        </w:rPr>
        <w:t>入参</w:t>
      </w:r>
      <w:r>
        <w:rPr>
          <w:rFonts w:hint="default" w:ascii="Calibri" w:hAnsi="Calibri" w:eastAsia="仿宋_GB2312"/>
          <w:sz w:val="28"/>
          <w:szCs w:val="28"/>
        </w:rPr>
        <w:t>body</w:t>
      </w:r>
      <w:r>
        <w:rPr>
          <w:rFonts w:hint="eastAsia" w:ascii="Calibri" w:hAnsi="Calibri" w:eastAsia="仿宋_GB2312"/>
          <w:sz w:val="28"/>
          <w:szCs w:val="28"/>
        </w:rPr>
        <w:t>示例如下：</w:t>
      </w:r>
      <w:r>
        <w:rPr>
          <w:rFonts w:hint="eastAsia" w:ascii="Calibri" w:hAnsi="Calibri" w:eastAsia="宋体"/>
          <w:sz w:val="21"/>
          <w:szCs w:val="21"/>
          <w:lang w:bidi="ar"/>
        </w:rPr>
        <w:br w:type="textWrapping"/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{</w:t>
      </w:r>
    </w:p>
    <w:p w14:paraId="2823BBBB">
      <w:pPr>
        <w:spacing w:beforeLines="0" w:afterLines="0" w:line="273" w:lineRule="auto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"request_id": "2f4f3f2a-6320-44c2-bd49-de29bd64dc09",</w:t>
      </w:r>
    </w:p>
    <w:p w14:paraId="60D80D67">
      <w:pPr>
        <w:spacing w:beforeLines="0" w:afterLines="0" w:line="273" w:lineRule="auto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"team_id": "2054451790241292288",</w:t>
      </w:r>
    </w:p>
    <w:p w14:paraId="0DE4D928">
      <w:pPr>
        <w:spacing w:beforeLines="0" w:afterLines="0" w:line="273" w:lineRule="auto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"track_code": "2eaf6e36583b4d06af0f4582220956d0",</w:t>
      </w:r>
    </w:p>
    <w:p w14:paraId="23536FF5">
      <w:pPr>
        <w:spacing w:beforeLines="0" w:afterLines="0" w:line="273" w:lineRule="auto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"input": {</w:t>
      </w:r>
    </w:p>
    <w:p w14:paraId="6CF17422">
      <w:pPr>
        <w:spacing w:beforeLines="0" w:afterLines="0" w:line="273" w:lineRule="auto"/>
        <w:rPr>
          <w:rFonts w:hint="eastAsia" w:ascii="Calibri" w:hAnsi="Calibri" w:eastAsia="宋体"/>
          <w:sz w:val="21"/>
          <w:szCs w:val="21"/>
          <w:shd w:val="clear" w:color="FFFFFF" w:fill="D9D9D9"/>
        </w:rPr>
      </w:pPr>
      <w:r>
        <w:rPr>
          <w:rFonts w:hint="eastAsia" w:ascii="Calibri" w:hAnsi="Calibri" w:eastAsia="宋体"/>
          <w:sz w:val="21"/>
          <w:szCs w:val="21"/>
          <w:shd w:val="clear" w:color="FFFFFF" w:fill="D9D9D9"/>
          <w:lang w:bidi="ar"/>
        </w:rPr>
        <w:t xml:space="preserve">    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"evaluation_id": "454899866564564",</w:t>
      </w:r>
    </w:p>
    <w:p w14:paraId="2F2EB4F0">
      <w:pPr>
        <w:spacing w:beforeLines="0" w:afterLines="0" w:line="273" w:lineRule="auto"/>
        <w:rPr>
          <w:rFonts w:hint="eastAsia" w:ascii="Calibri" w:hAnsi="Calibri" w:eastAsia="宋体"/>
          <w:sz w:val="21"/>
          <w:szCs w:val="21"/>
          <w:shd w:val="clear" w:color="FFFFFF" w:fill="D9D9D9"/>
        </w:rPr>
      </w:pPr>
      <w:r>
        <w:rPr>
          <w:rFonts w:hint="eastAsia" w:ascii="Calibri" w:hAnsi="Calibri" w:eastAsia="宋体"/>
          <w:sz w:val="21"/>
          <w:szCs w:val="21"/>
          <w:shd w:val="clear" w:color="FFFFFF" w:fill="D9D9D9"/>
          <w:lang w:bidi="ar"/>
        </w:rPr>
        <w:t xml:space="preserve">    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"dataset_path": "/data/testset"</w:t>
      </w:r>
    </w:p>
    <w:p w14:paraId="5BBA08FD">
      <w:pPr>
        <w:spacing w:beforeLines="0" w:afterLines="0" w:line="273" w:lineRule="auto"/>
        <w:rPr>
          <w:rFonts w:hint="eastAsia" w:ascii="Calibri" w:hAnsi="Calibri" w:eastAsia="宋体"/>
          <w:sz w:val="21"/>
          <w:szCs w:val="21"/>
          <w:shd w:val="clear" w:color="FFFFFF" w:fill="D9D9D9"/>
        </w:rPr>
      </w:pPr>
      <w:r>
        <w:rPr>
          <w:rFonts w:hint="eastAsia" w:ascii="Calibri" w:hAnsi="Calibri" w:eastAsia="宋体"/>
          <w:sz w:val="21"/>
          <w:szCs w:val="21"/>
          <w:shd w:val="clear" w:color="FFFFFF" w:fill="D9D9D9"/>
          <w:lang w:bidi="ar"/>
        </w:rPr>
        <w:t xml:space="preserve">  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}</w:t>
      </w:r>
    </w:p>
    <w:p w14:paraId="06FF7A90">
      <w:pPr>
        <w:spacing w:beforeLines="0" w:afterLines="0" w:line="273" w:lineRule="auto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}</w:t>
      </w:r>
    </w:p>
    <w:p w14:paraId="46FF2392">
      <w:pPr>
        <w:spacing w:beforeLines="0" w:afterLines="0" w:line="273" w:lineRule="auto"/>
        <w:ind w:firstLine="720"/>
        <w:rPr>
          <w:rFonts w:hint="eastAsia" w:ascii="Calibri" w:hAnsi="Calibri" w:eastAsia="宋体" w:cs="Calibri"/>
          <w:sz w:val="21"/>
          <w:szCs w:val="21"/>
        </w:rPr>
      </w:pPr>
      <w:r>
        <w:rPr>
          <w:rFonts w:hint="eastAsia" w:ascii="Calibri" w:hAnsi="Calibri" w:eastAsia="宋体" w:cs="Calibri"/>
          <w:sz w:val="21"/>
          <w:szCs w:val="21"/>
          <w:lang w:bidi="ar"/>
        </w:rPr>
        <w:t xml:space="preserve"> </w:t>
      </w:r>
    </w:p>
    <w:p w14:paraId="161A1600">
      <w:pPr>
        <w:wordWrap w:val="0"/>
        <w:spacing w:beforeLines="0" w:after="100" w:afterAutospacing="1" w:line="600" w:lineRule="exact"/>
        <w:ind w:firstLine="560" w:firstLineChars="200"/>
        <w:rPr>
          <w:rFonts w:hint="eastAsia" w:ascii="Calibri" w:hAnsi="Calibri" w:eastAsia="仿宋_GB2312"/>
          <w:sz w:val="28"/>
          <w:szCs w:val="28"/>
        </w:rPr>
      </w:pPr>
      <w:r>
        <w:rPr>
          <w:rFonts w:hint="default" w:ascii="Calibri" w:hAnsi="Calibri" w:eastAsia="仿宋_GB2312"/>
          <w:sz w:val="28"/>
          <w:szCs w:val="28"/>
        </w:rPr>
        <w:t>input.dataset_path</w:t>
      </w:r>
      <w:r>
        <w:rPr>
          <w:rFonts w:hint="eastAsia" w:ascii="Calibri" w:hAnsi="Calibri" w:eastAsia="仿宋_GB2312"/>
          <w:sz w:val="28"/>
          <w:szCs w:val="28"/>
        </w:rPr>
        <w:t>即推理的测评数据集所在目录，存在批量的测试数据样例，选手的推理服务</w:t>
      </w:r>
      <w:r>
        <w:rPr>
          <w:rFonts w:hint="default" w:ascii="Calibri" w:hAnsi="Calibri" w:eastAsia="仿宋_GB2312"/>
          <w:sz w:val="28"/>
          <w:szCs w:val="28"/>
        </w:rPr>
        <w:t>api</w:t>
      </w:r>
      <w:r>
        <w:rPr>
          <w:rFonts w:hint="eastAsia" w:ascii="Calibri" w:hAnsi="Calibri" w:eastAsia="仿宋_GB2312"/>
          <w:sz w:val="28"/>
          <w:szCs w:val="28"/>
        </w:rPr>
        <w:t>应支持批量的数据文件读取。</w:t>
      </w:r>
    </w:p>
    <w:p w14:paraId="761088CF">
      <w:pPr>
        <w:spacing w:beforeLines="0" w:afterLines="0" w:line="273" w:lineRule="auto"/>
        <w:rPr>
          <w:rFonts w:hint="eastAsia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推理接口实例：</w:t>
      </w:r>
    </w:p>
    <w:p w14:paraId="61F764EF">
      <w:pPr>
        <w:spacing w:beforeLines="0" w:afterLines="0" w:line="273" w:lineRule="auto"/>
        <w:ind w:firstLine="420" w:firstLineChars="20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>curl -X POST http://127.0.0.1:</w:t>
      </w: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eastAsia="zh" w:bidi="ar"/>
        </w:rPr>
        <w:t>8000</w:t>
      </w: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>/call \</w:t>
      </w:r>
    </w:p>
    <w:p w14:paraId="26C96A91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-H "Content-Type: application/json" \</w:t>
      </w:r>
    </w:p>
    <w:p w14:paraId="3FA5C645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-d '{</w:t>
      </w:r>
    </w:p>
    <w:p w14:paraId="68C0C059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  "request_id": "2f4f3f2a-6320-44c2-bd49-de29bd64dc09",</w:t>
      </w:r>
    </w:p>
    <w:p w14:paraId="747009E6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  "team_id": "2054451790241292288",</w:t>
      </w:r>
    </w:p>
    <w:p w14:paraId="1BC761A4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  "track_code": "2eaf6e36583b4d06af0f4582220956d0",</w:t>
      </w:r>
    </w:p>
    <w:p w14:paraId="169FF23E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  "input": {</w:t>
      </w:r>
    </w:p>
    <w:p w14:paraId="124D15B8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    "evaluation_id": "454899866564564",</w:t>
      </w:r>
    </w:p>
    <w:p w14:paraId="18B3C79F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    "dataset_path": "/data/testset"</w:t>
      </w:r>
    </w:p>
    <w:p w14:paraId="1B93F706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  }</w:t>
      </w:r>
    </w:p>
    <w:p w14:paraId="52CACCE3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}'</w:t>
      </w:r>
    </w:p>
    <w:p w14:paraId="11A66DF5">
      <w:pPr>
        <w:spacing w:beforeLines="0" w:afterLines="0" w:line="273" w:lineRule="auto"/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bidi="ar"/>
        </w:rPr>
        <w:t xml:space="preserve">  </w:t>
      </w:r>
    </w:p>
    <w:p w14:paraId="7F3333F8">
      <w:pPr>
        <w:wordWrap w:val="0"/>
        <w:spacing w:beforeLines="0" w:after="100" w:afterAutospacing="1" w:line="360" w:lineRule="auto"/>
        <w:rPr>
          <w:rFonts w:hint="default" w:ascii="Calibri" w:hAnsi="Calibri" w:eastAsia="仿宋_GB2312"/>
          <w:b/>
          <w:sz w:val="28"/>
          <w:szCs w:val="28"/>
        </w:rPr>
      </w:pPr>
      <w:r>
        <w:rPr>
          <w:rFonts w:hint="eastAsia" w:ascii="Calibri" w:hAnsi="Calibri" w:eastAsia="仿宋_GB2312"/>
          <w:b/>
          <w:sz w:val="28"/>
          <w:szCs w:val="28"/>
        </w:rPr>
        <w:t>交互二： 回传推理结果</w:t>
      </w:r>
    </w:p>
    <w:p w14:paraId="008B8671">
      <w:pPr>
        <w:wordWrap w:val="0"/>
        <w:spacing w:beforeLines="0" w:after="100" w:afterAutospacing="1" w:line="360" w:lineRule="auto"/>
        <w:ind w:firstLine="560" w:firstLineChars="200"/>
        <w:rPr>
          <w:rFonts w:hint="default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模型推理完成后，选手需要将结果集放在指定目录，并调用回调</w:t>
      </w:r>
      <w:r>
        <w:rPr>
          <w:rFonts w:hint="eastAsia" w:ascii="Calibri" w:hAnsi="Calibri" w:eastAsia="仿宋_GB2312"/>
          <w:sz w:val="28"/>
          <w:szCs w:val="28"/>
          <w:lang w:eastAsia="zh"/>
        </w:rPr>
        <w:t>系统</w:t>
      </w:r>
      <w:r>
        <w:rPr>
          <w:rFonts w:hint="eastAsia" w:ascii="Calibri" w:hAnsi="Calibri" w:eastAsia="仿宋_GB2312"/>
          <w:sz w:val="28"/>
          <w:szCs w:val="28"/>
        </w:rPr>
        <w:t>推理结果接口来表示</w:t>
      </w:r>
      <w:r>
        <w:rPr>
          <w:rFonts w:hint="eastAsia" w:ascii="Calibri" w:hAnsi="Calibri" w:eastAsia="仿宋_GB2312"/>
          <w:sz w:val="28"/>
          <w:szCs w:val="28"/>
          <w:lang w:eastAsia="zh"/>
        </w:rPr>
        <w:t>该</w:t>
      </w:r>
      <w:r>
        <w:rPr>
          <w:rFonts w:hint="eastAsia" w:ascii="Calibri" w:hAnsi="Calibri" w:eastAsia="仿宋_GB2312"/>
          <w:sz w:val="28"/>
          <w:szCs w:val="28"/>
        </w:rPr>
        <w:t>次推理完成。</w:t>
      </w:r>
    </w:p>
    <w:p w14:paraId="7C331640">
      <w:pPr>
        <w:wordWrap w:val="0"/>
        <w:spacing w:beforeLines="0" w:after="100" w:afterAutospacing="1" w:line="360" w:lineRule="auto"/>
        <w:ind w:firstLine="560" w:firstLineChars="200"/>
        <w:rPr>
          <w:rFonts w:hint="eastAsia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回传推理结果接口地址为：{训推平台</w:t>
      </w:r>
      <w:r>
        <w:rPr>
          <w:rFonts w:hint="eastAsia" w:ascii="Calibri" w:hAnsi="Calibri" w:eastAsia="仿宋_GB2312"/>
          <w:sz w:val="28"/>
          <w:szCs w:val="28"/>
          <w:lang w:eastAsia="zh"/>
        </w:rPr>
        <w:t>服务</w:t>
      </w:r>
      <w:r>
        <w:rPr>
          <w:rFonts w:hint="eastAsia" w:ascii="Calibri" w:hAnsi="Calibri" w:eastAsia="仿宋_GB2312"/>
          <w:sz w:val="28"/>
          <w:szCs w:val="28"/>
        </w:rPr>
        <w:t>地址}</w:t>
      </w:r>
      <w:r>
        <w:rPr>
          <w:rFonts w:hint="default" w:ascii="Calibri" w:hAnsi="Calibri" w:eastAsia="仿宋_GB2312"/>
          <w:sz w:val="28"/>
          <w:szCs w:val="28"/>
        </w:rPr>
        <w:t xml:space="preserve">/api/competition/inference/callback/ </w:t>
      </w:r>
      <w:r>
        <w:rPr>
          <w:rFonts w:hint="eastAsia" w:ascii="Calibri" w:hAnsi="Calibri" w:eastAsia="仿宋_GB2312"/>
          <w:sz w:val="28"/>
          <w:szCs w:val="28"/>
        </w:rPr>
        <w:t>使用POST调用方式，无认证权限拦截，选手需要按照规范传入指定入参</w:t>
      </w:r>
      <w:r>
        <w:rPr>
          <w:rFonts w:hint="default" w:ascii="Calibri" w:hAnsi="Calibri" w:eastAsia="仿宋_GB2312"/>
          <w:sz w:val="28"/>
          <w:szCs w:val="28"/>
        </w:rPr>
        <w:t>body</w:t>
      </w:r>
      <w:r>
        <w:rPr>
          <w:rFonts w:hint="eastAsia" w:ascii="Calibri" w:hAnsi="Calibri" w:eastAsia="仿宋_GB2312"/>
          <w:sz w:val="28"/>
          <w:szCs w:val="28"/>
        </w:rPr>
        <w:t>。</w:t>
      </w:r>
    </w:p>
    <w:p w14:paraId="20657DE4">
      <w:pPr>
        <w:spacing w:beforeLines="0" w:afterLines="0" w:line="273" w:lineRule="auto"/>
        <w:ind w:firstLine="420"/>
        <w:rPr>
          <w:rFonts w:hint="eastAsia" w:ascii="Calibri" w:hAnsi="Calibri" w:eastAsia="宋体"/>
          <w:sz w:val="21"/>
          <w:szCs w:val="21"/>
        </w:rPr>
      </w:pPr>
      <w:r>
        <w:rPr>
          <w:rFonts w:hint="default" w:ascii="Calibri" w:hAnsi="Calibri" w:eastAsia="宋体" w:cs="Calibri"/>
          <w:sz w:val="21"/>
          <w:szCs w:val="21"/>
          <w:lang w:bidi="ar"/>
        </w:rPr>
        <w:t>body</w:t>
      </w:r>
      <w:r>
        <w:rPr>
          <w:rFonts w:hint="eastAsia" w:ascii="宋体" w:hAnsi="宋体" w:eastAsia="宋体" w:cs="宋体"/>
          <w:sz w:val="21"/>
          <w:szCs w:val="21"/>
          <w:lang w:bidi="ar"/>
        </w:rPr>
        <w:t>入参示意：</w:t>
      </w:r>
    </w:p>
    <w:p w14:paraId="5A887EAC">
      <w:pPr>
        <w:spacing w:beforeLines="0" w:afterLines="0" w:line="273" w:lineRule="auto"/>
        <w:ind w:firstLine="420"/>
        <w:rPr>
          <w:rFonts w:hint="eastAsia" w:ascii="Calibri" w:hAnsi="Calibri" w:eastAsia="宋体"/>
          <w:sz w:val="21"/>
          <w:szCs w:val="21"/>
          <w:shd w:val="clear" w:color="FFFFFF" w:fill="D9D9D9"/>
        </w:rPr>
      </w:pP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{</w:t>
      </w:r>
    </w:p>
    <w:p w14:paraId="5DEA2640">
      <w:pPr>
        <w:spacing w:beforeLines="0" w:afterLines="0" w:line="273" w:lineRule="auto"/>
        <w:ind w:firstLine="420"/>
        <w:rPr>
          <w:rFonts w:hint="eastAsia" w:ascii="Calibri" w:hAnsi="Calibri" w:eastAsia="宋体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/>
          <w:sz w:val="21"/>
          <w:szCs w:val="21"/>
          <w:shd w:val="clear" w:color="FFFFFF" w:fill="D9D9D9"/>
          <w:lang w:bidi="ar"/>
        </w:rPr>
        <w:t xml:space="preserve">    </w:t>
      </w:r>
      <w:r>
        <w:rPr>
          <w:rFonts w:hint="default" w:ascii="Calibri" w:hAnsi="Calibri" w:eastAsia="宋体"/>
          <w:sz w:val="21"/>
          <w:szCs w:val="21"/>
          <w:shd w:val="clear" w:color="FFFFFF" w:fill="D9D9D9"/>
          <w:lang w:bidi="ar"/>
        </w:rPr>
        <w:t>"request_id": "2f4f3f2a-6320-44c2-bd49-de29bd64dc09",</w:t>
      </w:r>
    </w:p>
    <w:p w14:paraId="141B04E6">
      <w:pPr>
        <w:spacing w:beforeLines="0" w:afterLines="0" w:line="273" w:lineRule="auto"/>
        <w:ind w:firstLine="420"/>
        <w:rPr>
          <w:rFonts w:hint="eastAsia" w:ascii="Calibri" w:hAnsi="Calibri" w:eastAsia="宋体"/>
          <w:sz w:val="21"/>
          <w:szCs w:val="21"/>
          <w:shd w:val="clear" w:color="FFFFFF" w:fill="D9D9D9"/>
        </w:rPr>
      </w:pPr>
      <w:r>
        <w:rPr>
          <w:rFonts w:hint="eastAsia" w:ascii="Calibri" w:hAnsi="Calibri" w:eastAsia="宋体"/>
          <w:sz w:val="21"/>
          <w:szCs w:val="21"/>
          <w:shd w:val="clear" w:color="FFFFFF" w:fill="D9D9D9"/>
          <w:lang w:bidi="ar"/>
        </w:rPr>
        <w:t xml:space="preserve">    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"evaluationId": 454899866564564,</w:t>
      </w:r>
    </w:p>
    <w:p w14:paraId="7F4626F1">
      <w:pPr>
        <w:spacing w:beforeLines="0" w:afterLines="0" w:line="273" w:lineRule="auto"/>
        <w:ind w:firstLine="420"/>
        <w:rPr>
          <w:rFonts w:hint="eastAsia" w:ascii="Calibri" w:hAnsi="Calibri" w:eastAsia="宋体"/>
          <w:sz w:val="21"/>
          <w:szCs w:val="21"/>
          <w:shd w:val="clear" w:color="FFFFFF" w:fill="D9D9D9"/>
        </w:rPr>
      </w:pPr>
      <w:r>
        <w:rPr>
          <w:rFonts w:hint="eastAsia" w:ascii="Calibri" w:hAnsi="Calibri" w:eastAsia="宋体"/>
          <w:sz w:val="21"/>
          <w:szCs w:val="21"/>
          <w:shd w:val="clear" w:color="FFFFFF" w:fill="D9D9D9"/>
          <w:lang w:bidi="ar"/>
        </w:rPr>
        <w:t xml:space="preserve">    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"predPath": "</w:t>
      </w: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eastAsia="zh" w:bidi="ar"/>
        </w:rPr>
        <w:t>c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answer/454899866564564"</w:t>
      </w:r>
    </w:p>
    <w:p w14:paraId="4DFD67B1">
      <w:pPr>
        <w:spacing w:beforeLines="0" w:afterLines="0" w:line="273" w:lineRule="auto"/>
        <w:ind w:firstLine="420"/>
        <w:rPr>
          <w:rFonts w:hint="eastAsia" w:ascii="Calibri" w:hAnsi="Calibri" w:eastAsia="宋体"/>
          <w:sz w:val="21"/>
          <w:szCs w:val="21"/>
          <w:shd w:val="clear" w:color="FFFFFF" w:fill="D9D9D9"/>
        </w:rPr>
      </w:pP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}</w:t>
      </w:r>
    </w:p>
    <w:p w14:paraId="05FBC0E5">
      <w:pPr>
        <w:wordWrap w:val="0"/>
        <w:spacing w:beforeLines="0" w:after="100" w:afterAutospacing="1" w:line="360" w:lineRule="auto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训推平台完整回调地址已在容器实例的页面上方显示，可直接拷贝用于推理服务的回调请求。</w:t>
      </w:r>
    </w:p>
    <w:p w14:paraId="489804F7">
      <w:pPr>
        <w:widowControl/>
        <w:spacing w:before="100" w:beforeLines="0" w:beforeAutospacing="1" w:after="200" w:afterLines="0" w:line="273" w:lineRule="auto"/>
        <w:jc w:val="left"/>
        <w:rPr>
          <w:rFonts w:hint="eastAsia" w:ascii="Cambria" w:hAnsi="Cambria" w:eastAsia="ＭＳ 明朝"/>
          <w:sz w:val="22"/>
          <w:szCs w:val="22"/>
          <w:lang w:eastAsia="zh"/>
        </w:rPr>
      </w:pPr>
      <w:r>
        <w:rPr>
          <w:rFonts w:hint="default" w:ascii="Cambria" w:hAnsi="Cambria" w:eastAsia="ＭＳ 明朝"/>
          <w:sz w:val="22"/>
          <w:szCs w:val="22"/>
          <w:lang w:eastAsia="zh"/>
        </w:rPr>
        <w:drawing>
          <wp:inline distT="0" distB="0" distL="114300" distR="114300">
            <wp:extent cx="5271770" cy="1626235"/>
            <wp:effectExtent l="0" t="0" r="5080" b="254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C2209">
      <w:pPr>
        <w:widowControl/>
        <w:spacing w:before="100" w:beforeLines="0" w:beforeAutospacing="1" w:after="200" w:afterLines="0" w:line="273" w:lineRule="auto"/>
        <w:jc w:val="left"/>
        <w:rPr>
          <w:rFonts w:hint="eastAsia" w:ascii="Cambria" w:hAnsi="Cambria" w:eastAsia="ＭＳ 明朝"/>
          <w:sz w:val="22"/>
          <w:szCs w:val="22"/>
          <w:lang w:eastAsia="zh"/>
        </w:rPr>
      </w:pPr>
    </w:p>
    <w:p w14:paraId="7A6175DA">
      <w:pPr>
        <w:numPr>
          <w:ilvl w:val="0"/>
          <w:numId w:val="2"/>
        </w:numPr>
        <w:wordWrap w:val="0"/>
        <w:spacing w:beforeLines="0" w:after="100" w:afterAutospacing="1" w:line="360" w:lineRule="auto"/>
        <w:ind w:firstLine="560" w:firstLineChars="200"/>
        <w:rPr>
          <w:rFonts w:hint="eastAsia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推理服务的结果集</w:t>
      </w:r>
      <w:r>
        <w:rPr>
          <w:rFonts w:hint="default" w:ascii="Calibri" w:hAnsi="Calibri" w:eastAsia="仿宋_GB2312"/>
          <w:sz w:val="28"/>
          <w:szCs w:val="28"/>
        </w:rPr>
        <w:t>predPath</w:t>
      </w:r>
      <w:r>
        <w:rPr>
          <w:rFonts w:hint="eastAsia" w:ascii="Calibri" w:hAnsi="Calibri" w:eastAsia="仿宋_GB2312"/>
          <w:sz w:val="28"/>
          <w:szCs w:val="28"/>
        </w:rPr>
        <w:t>输出路径格式为</w:t>
      </w:r>
      <w:r>
        <w:rPr>
          <w:rFonts w:hint="eastAsia" w:ascii="Calibri" w:hAnsi="Calibri" w:eastAsia="仿宋_GB2312"/>
          <w:sz w:val="28"/>
          <w:szCs w:val="28"/>
          <w:lang w:eastAsia="zh"/>
        </w:rPr>
        <w:t>/2026aicompetition/workspace/answer</w:t>
      </w:r>
      <w:r>
        <w:rPr>
          <w:rFonts w:hint="default" w:ascii="Calibri" w:hAnsi="Calibri" w:eastAsia="仿宋_GB2312"/>
          <w:sz w:val="28"/>
          <w:szCs w:val="28"/>
        </w:rPr>
        <w:t>/{</w:t>
      </w:r>
      <w:r>
        <w:rPr>
          <w:rFonts w:hint="eastAsia" w:ascii="Calibri" w:hAnsi="Calibri" w:eastAsia="仿宋_GB2312"/>
          <w:sz w:val="28"/>
          <w:szCs w:val="28"/>
        </w:rPr>
        <w:t>evaluation_id</w:t>
      </w:r>
      <w:r>
        <w:rPr>
          <w:rFonts w:hint="default" w:ascii="Calibri" w:hAnsi="Calibri" w:eastAsia="仿宋_GB2312"/>
          <w:sz w:val="28"/>
          <w:szCs w:val="28"/>
        </w:rPr>
        <w:t>}/</w:t>
      </w:r>
      <w:r>
        <w:rPr>
          <w:rFonts w:hint="eastAsia" w:ascii="Calibri" w:hAnsi="Calibri" w:eastAsia="仿宋_GB2312"/>
          <w:sz w:val="28"/>
          <w:szCs w:val="28"/>
          <w:lang w:eastAsia="zh"/>
        </w:rPr>
        <w:t>{</w:t>
      </w:r>
      <w:r>
        <w:rPr>
          <w:rFonts w:hint="eastAsia" w:ascii="Calibri" w:hAnsi="Calibri" w:eastAsia="仿宋_GB2312"/>
          <w:sz w:val="28"/>
          <w:szCs w:val="28"/>
        </w:rPr>
        <w:t>结果集</w:t>
      </w:r>
      <w:r>
        <w:rPr>
          <w:rFonts w:hint="eastAsia" w:ascii="Calibri" w:hAnsi="Calibri" w:eastAsia="仿宋_GB2312"/>
          <w:sz w:val="28"/>
          <w:szCs w:val="28"/>
          <w:lang w:eastAsia="zh"/>
        </w:rPr>
        <w:t>}</w:t>
      </w:r>
      <w:r>
        <w:rPr>
          <w:rFonts w:hint="eastAsia" w:ascii="Calibri" w:hAnsi="Calibri" w:eastAsia="仿宋_GB2312"/>
          <w:sz w:val="28"/>
          <w:szCs w:val="28"/>
        </w:rPr>
        <w:t>，其中evaluation_id由赛事组在调用推理服务时传入，每次调用推理服务时的evaluation_id均不相同，选手需要将该evaluation_id作为推理结果集路径的前缀路径。例如：</w:t>
      </w:r>
      <w:r>
        <w:rPr>
          <w:rFonts w:hint="eastAsia" w:ascii="Calibri" w:hAnsi="Calibri" w:eastAsia="仿宋_GB2312"/>
          <w:sz w:val="28"/>
          <w:szCs w:val="28"/>
          <w:lang w:eastAsia="zh"/>
        </w:rPr>
        <w:t>/2026aicompetition/workspace/answer</w:t>
      </w:r>
      <w:r>
        <w:rPr>
          <w:rFonts w:hint="eastAsia" w:ascii="Calibri" w:hAnsi="Calibri" w:eastAsia="仿宋_GB2312"/>
          <w:sz w:val="28"/>
          <w:szCs w:val="28"/>
        </w:rPr>
        <w:t>/454899866564564/</w:t>
      </w:r>
      <w:r>
        <w:rPr>
          <w:rFonts w:hint="eastAsia" w:ascii="Calibri" w:hAnsi="Calibri" w:eastAsia="仿宋_GB2312"/>
          <w:sz w:val="28"/>
          <w:szCs w:val="28"/>
          <w:lang w:eastAsia="zh"/>
        </w:rPr>
        <w:t>{</w:t>
      </w:r>
      <w:r>
        <w:rPr>
          <w:rFonts w:hint="eastAsia" w:ascii="Calibri" w:hAnsi="Calibri" w:eastAsia="仿宋_GB2312"/>
          <w:sz w:val="28"/>
          <w:szCs w:val="28"/>
        </w:rPr>
        <w:t>结果集</w:t>
      </w:r>
      <w:r>
        <w:rPr>
          <w:rFonts w:hint="eastAsia" w:ascii="Calibri" w:hAnsi="Calibri" w:eastAsia="仿宋_GB2312"/>
          <w:sz w:val="28"/>
          <w:szCs w:val="28"/>
          <w:lang w:eastAsia="zh"/>
        </w:rPr>
        <w:t>}</w:t>
      </w:r>
      <w:r>
        <w:rPr>
          <w:rFonts w:hint="eastAsia" w:ascii="Calibri" w:hAnsi="Calibri" w:eastAsia="仿宋_GB2312"/>
          <w:sz w:val="28"/>
          <w:szCs w:val="28"/>
        </w:rPr>
        <w:t xml:space="preserve">。 </w:t>
      </w:r>
    </w:p>
    <w:p w14:paraId="7C81F9D2">
      <w:pPr>
        <w:numPr>
          <w:ilvl w:val="0"/>
          <w:numId w:val="0"/>
        </w:numPr>
        <w:wordWrap w:val="0"/>
        <w:spacing w:beforeLines="0" w:after="100" w:afterAutospacing="1" w:line="360" w:lineRule="auto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其中/2026aicompetition/workspace/answer已由系统统一创建，</w:t>
      </w:r>
      <w:r>
        <w:rPr>
          <w:rFonts w:hint="default" w:ascii="Calibri" w:hAnsi="Calibri" w:eastAsia="仿宋_GB2312"/>
          <w:sz w:val="28"/>
          <w:szCs w:val="28"/>
        </w:rPr>
        <w:t>{</w:t>
      </w:r>
      <w:r>
        <w:rPr>
          <w:rFonts w:hint="eastAsia" w:ascii="Calibri" w:hAnsi="Calibri" w:eastAsia="仿宋_GB2312"/>
          <w:sz w:val="28"/>
          <w:szCs w:val="28"/>
        </w:rPr>
        <w:t>evaluation_id</w:t>
      </w:r>
      <w:r>
        <w:rPr>
          <w:rFonts w:hint="default" w:ascii="Calibri" w:hAnsi="Calibri" w:eastAsia="仿宋_GB2312"/>
          <w:sz w:val="28"/>
          <w:szCs w:val="28"/>
        </w:rPr>
        <w:t>}</w:t>
      </w:r>
      <w:r>
        <w:rPr>
          <w:rFonts w:hint="eastAsia" w:ascii="Calibri" w:hAnsi="Calibri" w:eastAsia="仿宋_GB2312"/>
          <w:sz w:val="28"/>
          <w:szCs w:val="28"/>
          <w:lang w:eastAsia="zh"/>
        </w:rPr>
        <w:t>目录需要选手代码内实现动态创建</w:t>
      </w:r>
    </w:p>
    <w:p w14:paraId="2E2BDDEE">
      <w:pPr>
        <w:wordWrap w:val="0"/>
        <w:spacing w:beforeLines="0" w:after="100" w:afterAutospacing="1" w:line="360" w:lineRule="auto"/>
        <w:ind w:firstLine="560" w:firstLineChars="20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</w:rPr>
        <w:t>2、选手需要把</w:t>
      </w:r>
      <w:r>
        <w:rPr>
          <w:rFonts w:hint="eastAsia" w:ascii="Calibri" w:hAnsi="Calibri" w:eastAsia="仿宋_GB2312"/>
          <w:sz w:val="28"/>
          <w:szCs w:val="28"/>
          <w:lang w:eastAsia="zh"/>
        </w:rPr>
        <w:t>推理服务</w:t>
      </w:r>
      <w:r>
        <w:rPr>
          <w:rFonts w:hint="eastAsia" w:ascii="Calibri" w:hAnsi="Calibri" w:eastAsia="仿宋_GB2312"/>
          <w:sz w:val="28"/>
          <w:szCs w:val="28"/>
        </w:rPr>
        <w:t xml:space="preserve">/call 接收到的request_id 和 </w:t>
      </w:r>
      <w:r>
        <w:rPr>
          <w:rFonts w:hint="default" w:ascii="Calibri" w:hAnsi="Calibri" w:eastAsia="仿宋_GB2312"/>
          <w:sz w:val="28"/>
          <w:szCs w:val="28"/>
        </w:rPr>
        <w:t>evaluation_id</w:t>
      </w:r>
      <w:r>
        <w:rPr>
          <w:rFonts w:hint="eastAsia" w:ascii="Calibri" w:hAnsi="Calibri" w:eastAsia="仿宋_GB2312"/>
          <w:sz w:val="28"/>
          <w:szCs w:val="28"/>
        </w:rPr>
        <w:t>保存起来，在</w:t>
      </w:r>
      <w:r>
        <w:rPr>
          <w:rFonts w:hint="default" w:ascii="Calibri" w:hAnsi="Calibri" w:eastAsia="仿宋_GB2312"/>
          <w:sz w:val="28"/>
          <w:szCs w:val="28"/>
        </w:rPr>
        <w:t>callback</w:t>
      </w:r>
      <w:r>
        <w:rPr>
          <w:rFonts w:hint="eastAsia" w:ascii="Calibri" w:hAnsi="Calibri" w:eastAsia="仿宋_GB2312"/>
          <w:sz w:val="28"/>
          <w:szCs w:val="28"/>
        </w:rPr>
        <w:t>回调推理结果的时候作为入参回传</w:t>
      </w:r>
      <w:r>
        <w:rPr>
          <w:rFonts w:hint="eastAsia" w:ascii="Calibri" w:hAnsi="Calibri" w:eastAsia="仿宋_GB2312"/>
          <w:sz w:val="28"/>
          <w:szCs w:val="28"/>
          <w:lang w:eastAsia="zh"/>
        </w:rPr>
        <w:t>，否则无法闭环单次请求测评，回调接口参数校验会不通过。</w:t>
      </w:r>
    </w:p>
    <w:p w14:paraId="50206977">
      <w:pPr>
        <w:wordWrap w:val="0"/>
        <w:spacing w:beforeLines="0" w:after="100" w:afterAutospacing="1" w:line="600" w:lineRule="exact"/>
        <w:ind w:firstLine="420" w:firstLineChars="200"/>
        <w:rPr>
          <w:rFonts w:hint="eastAsia" w:ascii="Calibri" w:hAnsi="Calibri" w:eastAsia="仿宋_GB2312"/>
          <w:sz w:val="28"/>
          <w:szCs w:val="28"/>
        </w:rPr>
      </w:pPr>
      <w:r>
        <w:rPr>
          <w:rFonts w:hint="eastAsia" w:ascii="Calibri" w:hAnsi="Calibri" w:eastAsia="宋体"/>
          <w:sz w:val="21"/>
          <w:szCs w:val="21"/>
          <w:lang w:bidi="ar"/>
        </w:rPr>
        <w:t xml:space="preserve"> </w:t>
      </w:r>
      <w:r>
        <w:rPr>
          <w:rFonts w:hint="eastAsia" w:ascii="Calibri" w:hAnsi="Calibri" w:eastAsia="仿宋_GB2312"/>
          <w:sz w:val="28"/>
          <w:szCs w:val="28"/>
        </w:rPr>
        <w:t>此外，启动推理服务时，须确保启动命令是一个长期运行的前台进程，例如：</w:t>
      </w:r>
    </w:p>
    <w:p w14:paraId="68BDAFBA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>python -m vllm.entrypoints.openai.api_server \</w:t>
      </w:r>
    </w:p>
    <w:p w14:paraId="0B965EE1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--model deepseek-ai/DeepSeek-V4-Pro \</w:t>
      </w:r>
    </w:p>
    <w:p w14:paraId="5E0FA19A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--tensor-parallel-size 8 \</w:t>
      </w:r>
    </w:p>
    <w:p w14:paraId="15B59FD0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--max-model-len 8192 \</w:t>
      </w:r>
    </w:p>
    <w:p w14:paraId="1B1F59B3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--trust-remote-code …… </w:t>
      </w:r>
    </w:p>
    <w:p w14:paraId="7E9B161F">
      <w:pPr>
        <w:wordWrap w:val="0"/>
        <w:spacing w:beforeLines="0" w:after="100" w:afterAutospacing="1" w:line="600" w:lineRule="exact"/>
        <w:ind w:firstLine="560" w:firstLineChars="200"/>
        <w:rPr>
          <w:rFonts w:hint="eastAsia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如果不是前台进程，将无法确保服务持续运行。vllm启动命令满足此要求。</w:t>
      </w:r>
    </w:p>
    <w:p w14:paraId="18C25DAA">
      <w:pPr>
        <w:wordWrap w:val="0"/>
        <w:spacing w:beforeLines="0" w:after="100" w:afterAutospacing="1" w:line="600" w:lineRule="exact"/>
        <w:ind w:firstLine="560" w:firstLineChars="200"/>
        <w:rPr>
          <w:rFonts w:hint="eastAsia" w:ascii="Calibri" w:hAnsi="Calibri" w:eastAsia="仿宋_GB2312"/>
          <w:sz w:val="28"/>
          <w:szCs w:val="28"/>
        </w:rPr>
      </w:pPr>
    </w:p>
    <w:p w14:paraId="74B815B1">
      <w:pPr>
        <w:pStyle w:val="3"/>
        <w:numPr>
          <w:ilvl w:val="1"/>
          <w:numId w:val="1"/>
        </w:numPr>
        <w:tabs>
          <w:tab w:val="left" w:pos="0"/>
        </w:tabs>
        <w:spacing w:after="260"/>
        <w:rPr>
          <w:rFonts w:hint="eastAsia" w:ascii="楷体_GB2312" w:hAnsi="楷体_GB2312" w:eastAsia="楷体_GB2312" w:cs="楷体_GB2312"/>
          <w:b w:val="0"/>
          <w:sz w:val="32"/>
          <w:szCs w:val="22"/>
          <w:lang w:eastAsia="zh"/>
        </w:rPr>
      </w:pPr>
      <w:r>
        <w:rPr>
          <w:rFonts w:hint="eastAsia" w:ascii="楷体_GB2312" w:hAnsi="楷体_GB2312" w:eastAsia="楷体_GB2312" w:cs="楷体_GB2312"/>
          <w:b w:val="0"/>
          <w:sz w:val="32"/>
          <w:szCs w:val="22"/>
          <w:lang w:eastAsia="zh"/>
        </w:rPr>
        <w:t>推理服务代码示例</w:t>
      </w:r>
    </w:p>
    <w:p w14:paraId="23BD904A">
      <w:pPr>
        <w:spacing w:beforeLines="0" w:afterLines="0"/>
        <w:ind w:firstLine="420" w:firstLineChars="20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注意以下代码仅为帮助参赛团队快速开发推理服务提供的伪代码，选手应自行实现具体的推理逻辑。</w:t>
      </w:r>
    </w:p>
    <w:p w14:paraId="5FC68767">
      <w:pPr>
        <w:spacing w:beforeLines="0" w:afterLines="0"/>
        <w:ind w:firstLine="420" w:firstLineChars="200"/>
        <w:rPr>
          <w:rFonts w:hint="default"/>
          <w:sz w:val="21"/>
          <w:szCs w:val="24"/>
        </w:rPr>
      </w:pPr>
    </w:p>
    <w:p w14:paraId="0C06E4F8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"""</w:t>
      </w:r>
      <w:r>
        <w:rPr>
          <w:rFonts w:hint="eastAsia"/>
          <w:sz w:val="21"/>
          <w:szCs w:val="24"/>
          <w:lang w:eastAsia="zh"/>
        </w:rPr>
        <w:t>代码示例</w:t>
      </w:r>
      <w:r>
        <w:rPr>
          <w:rFonts w:hint="default"/>
          <w:sz w:val="21"/>
          <w:szCs w:val="24"/>
        </w:rPr>
        <w:t>"""</w:t>
      </w:r>
    </w:p>
    <w:p w14:paraId="45CA0938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import json</w:t>
      </w:r>
    </w:p>
    <w:p w14:paraId="196C30D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import threading</w:t>
      </w:r>
    </w:p>
    <w:p w14:paraId="0BE79156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import urllib.request</w:t>
      </w:r>
    </w:p>
    <w:p w14:paraId="37B9D131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from http.server import BaseHTTPRequestHandler, ThreadingHTTPServer</w:t>
      </w:r>
    </w:p>
    <w:p w14:paraId="1656CC6C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from pathlib import Path</w:t>
      </w:r>
    </w:p>
    <w:p w14:paraId="265A9D3A">
      <w:pPr>
        <w:spacing w:beforeLines="0" w:afterLines="0"/>
        <w:rPr>
          <w:rFonts w:hint="default"/>
          <w:sz w:val="21"/>
          <w:szCs w:val="24"/>
        </w:rPr>
      </w:pPr>
    </w:p>
    <w:p w14:paraId="324B76DC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ANSWER_BASE = Path("/2026aicompetition/workspace/answer")</w:t>
      </w:r>
    </w:p>
    <w:p w14:paraId="4BA02F66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CALLBACK_URL = "http://10.1.13.241:80/api/competition/inference/callback/"</w:t>
      </w:r>
    </w:p>
    <w:p w14:paraId="2FC4ED36">
      <w:pPr>
        <w:spacing w:beforeLines="0" w:afterLines="0"/>
        <w:rPr>
          <w:rFonts w:hint="default"/>
          <w:sz w:val="21"/>
          <w:szCs w:val="24"/>
        </w:rPr>
      </w:pPr>
    </w:p>
    <w:p w14:paraId="0D6D0AC9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def callback(request_id: str, evaluation_id: str) -&gt; None:</w:t>
      </w:r>
    </w:p>
    <w:p w14:paraId="51B329C4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"""</w:t>
      </w:r>
      <w:r>
        <w:rPr>
          <w:rFonts w:hint="eastAsia"/>
          <w:sz w:val="21"/>
          <w:szCs w:val="24"/>
        </w:rPr>
        <w:t>通知平台：推理结果已写入 predPath。"""</w:t>
      </w:r>
    </w:p>
    <w:p w14:paraId="7F00B606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payload = {</w:t>
      </w:r>
    </w:p>
    <w:p w14:paraId="6FBCFFD7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"request_id": request_id,</w:t>
      </w:r>
    </w:p>
    <w:p w14:paraId="397D1F05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"evaluationId": evaluation_id,</w:t>
      </w:r>
    </w:p>
    <w:p w14:paraId="32F5912D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"predPath": f"/2026aicompetition/workspace/answer/{evaluation_id}",</w:t>
      </w:r>
    </w:p>
    <w:p w14:paraId="4F7FD25E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}</w:t>
      </w:r>
    </w:p>
    <w:p w14:paraId="03A30DC0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request = urllib.request.Request(</w:t>
      </w:r>
    </w:p>
    <w:p w14:paraId="67154896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CALLBACK_URL,</w:t>
      </w:r>
    </w:p>
    <w:p w14:paraId="300997C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data=json.dumps(payload).encode("utf-8"),</w:t>
      </w:r>
    </w:p>
    <w:p w14:paraId="045E27C3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headers={"Content-Type": "application/json"},</w:t>
      </w:r>
    </w:p>
    <w:p w14:paraId="08451B9D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method="POST",</w:t>
      </w:r>
    </w:p>
    <w:p w14:paraId="5D60BB75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)</w:t>
      </w:r>
    </w:p>
    <w:p w14:paraId="243CCD7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try:</w:t>
      </w:r>
    </w:p>
    <w:p w14:paraId="53812890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with urllib.request.urlopen(request, timeout=30):</w:t>
      </w:r>
    </w:p>
    <w:p w14:paraId="42B4FBDA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pass</w:t>
      </w:r>
    </w:p>
    <w:p w14:paraId="0BADDE9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except OSError:</w:t>
      </w:r>
    </w:p>
    <w:p w14:paraId="424F7B5D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 xml:space="preserve">        # </w:t>
      </w:r>
      <w:r>
        <w:rPr>
          <w:rFonts w:hint="eastAsia"/>
          <w:sz w:val="21"/>
          <w:szCs w:val="24"/>
        </w:rPr>
        <w:t>示例中不处理回调重试；生产服务可在此加入重试或告警。</w:t>
      </w:r>
    </w:p>
    <w:p w14:paraId="5763CEA9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pass</w:t>
      </w:r>
    </w:p>
    <w:p w14:paraId="37C2C1CA">
      <w:pPr>
        <w:spacing w:beforeLines="0" w:afterLines="0"/>
        <w:rPr>
          <w:rFonts w:hint="default"/>
          <w:sz w:val="21"/>
          <w:szCs w:val="24"/>
        </w:rPr>
      </w:pPr>
    </w:p>
    <w:p w14:paraId="1EC17D83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def run_inference(request_id: str, evaluation_id: str) -&gt; None:</w:t>
      </w:r>
    </w:p>
    <w:p w14:paraId="3ECC47F9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"""</w:t>
      </w:r>
      <w:r>
        <w:rPr>
          <w:rFonts w:hint="eastAsia"/>
          <w:sz w:val="21"/>
          <w:szCs w:val="24"/>
        </w:rPr>
        <w:t>在后台线程中执行推理并回调平台。"""</w:t>
      </w:r>
    </w:p>
    <w:p w14:paraId="5B13D25C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(ANSWER_BASE / evaluation_id).mkdir(parents=True, exist_ok=True)</w:t>
      </w:r>
    </w:p>
    <w:p w14:paraId="2BF3DAE1">
      <w:pPr>
        <w:spacing w:beforeLines="0" w:afterLines="0"/>
        <w:rPr>
          <w:rFonts w:hint="default"/>
          <w:sz w:val="21"/>
          <w:szCs w:val="24"/>
        </w:rPr>
      </w:pPr>
    </w:p>
    <w:p w14:paraId="2A261F96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 xml:space="preserve">    # </w:t>
      </w:r>
      <w:r>
        <w:rPr>
          <w:rFonts w:hint="eastAsia"/>
          <w:sz w:val="21"/>
          <w:szCs w:val="24"/>
        </w:rPr>
        <w:t>模型进行推理服务，生成推理结果</w:t>
      </w:r>
    </w:p>
    <w:p w14:paraId="718558F4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 xml:space="preserve">    # </w:t>
      </w:r>
      <w:r>
        <w:rPr>
          <w:rFonts w:hint="eastAsia"/>
          <w:sz w:val="21"/>
          <w:szCs w:val="24"/>
        </w:rPr>
        <w:t>请将推理结果写入 /2026aicompetition/workspace/answer/{evaluation_id}/</w:t>
      </w:r>
    </w:p>
    <w:p w14:paraId="1C916FCD">
      <w:pPr>
        <w:spacing w:beforeLines="0" w:afterLines="0"/>
        <w:rPr>
          <w:rFonts w:hint="default"/>
          <w:sz w:val="21"/>
          <w:szCs w:val="24"/>
        </w:rPr>
      </w:pPr>
    </w:p>
    <w:p w14:paraId="2BED5DC7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callback(request_id, evaluation_id)</w:t>
      </w:r>
    </w:p>
    <w:p w14:paraId="663C2B95">
      <w:pPr>
        <w:spacing w:beforeLines="0" w:afterLines="0"/>
        <w:rPr>
          <w:rFonts w:hint="default"/>
          <w:sz w:val="21"/>
          <w:szCs w:val="24"/>
        </w:rPr>
      </w:pPr>
    </w:p>
    <w:p w14:paraId="27ACFABD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class InferenceHandler(BaseHTTPRequestHandler):</w:t>
      </w:r>
    </w:p>
    <w:p w14:paraId="4542EA37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"""</w:t>
      </w:r>
      <w:r>
        <w:rPr>
          <w:rFonts w:hint="eastAsia"/>
          <w:sz w:val="21"/>
          <w:szCs w:val="24"/>
        </w:rPr>
        <w:t>无认证的 POST /call 接口。"""</w:t>
      </w:r>
    </w:p>
    <w:p w14:paraId="3151AC8F">
      <w:pPr>
        <w:spacing w:beforeLines="0" w:afterLines="0"/>
        <w:rPr>
          <w:rFonts w:hint="default"/>
          <w:sz w:val="21"/>
          <w:szCs w:val="24"/>
        </w:rPr>
      </w:pPr>
    </w:p>
    <w:p w14:paraId="7C2E86C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def do_GET(self) -&gt; None:</w:t>
      </w:r>
    </w:p>
    <w:p w14:paraId="555369FA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if self.path != "/health":</w:t>
      </w:r>
    </w:p>
    <w:p w14:paraId="02663465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self.send_error(404)</w:t>
      </w:r>
    </w:p>
    <w:p w14:paraId="4B3F2C10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return</w:t>
      </w:r>
    </w:p>
    <w:p w14:paraId="4EF642E6">
      <w:pPr>
        <w:spacing w:beforeLines="0" w:afterLines="0"/>
        <w:rPr>
          <w:rFonts w:hint="default"/>
          <w:sz w:val="21"/>
          <w:szCs w:val="24"/>
        </w:rPr>
      </w:pPr>
    </w:p>
    <w:p w14:paraId="4F808AF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body = b'{"status": "active"}'</w:t>
      </w:r>
    </w:p>
    <w:p w14:paraId="7C76C4B9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self.send_response(200)</w:t>
      </w:r>
    </w:p>
    <w:p w14:paraId="05A044EE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self.send_header("Content-Type", "application/json")</w:t>
      </w:r>
    </w:p>
    <w:p w14:paraId="290BC727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self.send_header("Content-Length", str(len(body)))</w:t>
      </w:r>
    </w:p>
    <w:p w14:paraId="56FF91F8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self.end_headers()</w:t>
      </w:r>
    </w:p>
    <w:p w14:paraId="6C3C6F7D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self.wfile.write(body)</w:t>
      </w:r>
    </w:p>
    <w:p w14:paraId="113599C0">
      <w:pPr>
        <w:spacing w:beforeLines="0" w:afterLines="0"/>
        <w:rPr>
          <w:rFonts w:hint="default"/>
          <w:sz w:val="21"/>
          <w:szCs w:val="24"/>
        </w:rPr>
      </w:pPr>
    </w:p>
    <w:p w14:paraId="2429E80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def do_POST(self) -&gt; None:</w:t>
      </w:r>
    </w:p>
    <w:p w14:paraId="005FEB0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if self.path != "/call":</w:t>
      </w:r>
    </w:p>
    <w:p w14:paraId="599D483F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self.send_error(404)</w:t>
      </w:r>
    </w:p>
    <w:p w14:paraId="4A4D390E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return</w:t>
      </w:r>
    </w:p>
    <w:p w14:paraId="4ADD132B">
      <w:pPr>
        <w:spacing w:beforeLines="0" w:afterLines="0"/>
        <w:rPr>
          <w:rFonts w:hint="default"/>
          <w:sz w:val="21"/>
          <w:szCs w:val="24"/>
        </w:rPr>
      </w:pPr>
    </w:p>
    <w:p w14:paraId="7DABA88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try:</w:t>
      </w:r>
    </w:p>
    <w:p w14:paraId="45C67E4E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content_length = int(self.headers.get("Content-Length", "0"))</w:t>
      </w:r>
    </w:p>
    <w:p w14:paraId="62E913DE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payload = json.loads(self.rfile.read(content_length))</w:t>
      </w:r>
    </w:p>
    <w:p w14:paraId="75959527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request_id = payload["request_id"]</w:t>
      </w:r>
    </w:p>
    <w:p w14:paraId="7EC199E6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input_data = payload["input"]</w:t>
      </w:r>
    </w:p>
    <w:p w14:paraId="50991FFD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evaluation_id = input_data.get("evaluation_id") or input_data["evaluationId"]</w:t>
      </w:r>
    </w:p>
    <w:p w14:paraId="0AD57BD5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except (KeyError, TypeError, ValueError, json.JSONDecodeError):</w:t>
      </w:r>
    </w:p>
    <w:p w14:paraId="38165F6F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self.send_error(400, "invalid request body")</w:t>
      </w:r>
    </w:p>
    <w:p w14:paraId="2764DBF8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return</w:t>
      </w:r>
    </w:p>
    <w:p w14:paraId="1D994866">
      <w:pPr>
        <w:spacing w:beforeLines="0" w:afterLines="0"/>
        <w:rPr>
          <w:rFonts w:hint="default"/>
          <w:sz w:val="21"/>
          <w:szCs w:val="24"/>
        </w:rPr>
      </w:pPr>
    </w:p>
    <w:p w14:paraId="617CE4A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threading.Thread(</w:t>
      </w:r>
    </w:p>
    <w:p w14:paraId="3D547165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target=run_inference,</w:t>
      </w:r>
    </w:p>
    <w:p w14:paraId="554AB2FA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args=(request_id, str(evaluation_id)),</w:t>
      </w:r>
    </w:p>
    <w:p w14:paraId="393D2229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daemon=True,</w:t>
      </w:r>
    </w:p>
    <w:p w14:paraId="56270167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).start()</w:t>
      </w:r>
    </w:p>
    <w:p w14:paraId="14B9761F">
      <w:pPr>
        <w:spacing w:beforeLines="0" w:afterLines="0"/>
        <w:rPr>
          <w:rFonts w:hint="default"/>
          <w:sz w:val="21"/>
          <w:szCs w:val="24"/>
        </w:rPr>
      </w:pPr>
    </w:p>
    <w:p w14:paraId="69B3CEAD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body = b'{"status": "received"}'</w:t>
      </w:r>
    </w:p>
    <w:p w14:paraId="5EB5E551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self.send_response(200)</w:t>
      </w:r>
    </w:p>
    <w:p w14:paraId="00BF24C9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self.send_header("Content-Type", "application/json")</w:t>
      </w:r>
    </w:p>
    <w:p w14:paraId="6FE99A4D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self.send_header("Content-Length", str(len(body)))</w:t>
      </w:r>
    </w:p>
    <w:p w14:paraId="1CA669E0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self.end_headers()</w:t>
      </w:r>
    </w:p>
    <w:p w14:paraId="53144185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self.wfile.write(body)</w:t>
      </w:r>
    </w:p>
    <w:p w14:paraId="3A4D0484">
      <w:pPr>
        <w:spacing w:beforeLines="0" w:afterLines="0"/>
        <w:rPr>
          <w:rFonts w:hint="default"/>
          <w:sz w:val="21"/>
          <w:szCs w:val="24"/>
        </w:rPr>
      </w:pPr>
    </w:p>
    <w:p w14:paraId="2F154B92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def log_message(self, format: str, *args) -&gt; None:</w:t>
      </w:r>
    </w:p>
    <w:p w14:paraId="5C528072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pass</w:t>
      </w:r>
    </w:p>
    <w:p w14:paraId="2C51C32A">
      <w:pPr>
        <w:spacing w:beforeLines="0" w:afterLines="0"/>
        <w:rPr>
          <w:rFonts w:hint="default"/>
          <w:sz w:val="21"/>
          <w:szCs w:val="24"/>
        </w:rPr>
      </w:pPr>
    </w:p>
    <w:p w14:paraId="0F91EF00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if __name__ == "__main__":</w:t>
      </w:r>
    </w:p>
    <w:p w14:paraId="3EFE865C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ThreadingHTTPServer(("0.0.0.0", 8000), InferenceHandler).serve_forever()</w:t>
      </w:r>
    </w:p>
    <w:p w14:paraId="713B9B75">
      <w:pPr>
        <w:widowControl/>
        <w:spacing w:beforeLines="0" w:afterLines="0"/>
        <w:jc w:val="left"/>
        <w:rPr>
          <w:rFonts w:hint="default"/>
          <w:sz w:val="21"/>
          <w:szCs w:val="24"/>
        </w:rPr>
      </w:pPr>
    </w:p>
    <w:p w14:paraId="28B02056">
      <w:pPr>
        <w:spacing w:beforeLines="0" w:afterLines="0"/>
        <w:rPr>
          <w:rFonts w:hint="eastAsia"/>
          <w:sz w:val="21"/>
          <w:szCs w:val="24"/>
          <w:lang w:eastAsia="zh"/>
        </w:rPr>
      </w:pPr>
    </w:p>
    <w:p w14:paraId="71DB7B5B">
      <w:pPr>
        <w:pStyle w:val="3"/>
        <w:numPr>
          <w:ilvl w:val="1"/>
          <w:numId w:val="1"/>
        </w:numPr>
        <w:tabs>
          <w:tab w:val="left" w:pos="0"/>
        </w:tabs>
        <w:spacing w:after="260"/>
        <w:rPr>
          <w:rFonts w:hint="eastAsia" w:ascii="楷体_GB2312" w:hAnsi="楷体_GB2312" w:eastAsia="楷体_GB2312" w:cs="楷体_GB2312"/>
          <w:b w:val="0"/>
          <w:sz w:val="32"/>
          <w:szCs w:val="22"/>
          <w:lang w:eastAsia="zh"/>
        </w:rPr>
      </w:pPr>
      <w:r>
        <w:rPr>
          <w:rFonts w:hint="eastAsia" w:ascii="楷体_GB2312" w:hAnsi="楷体_GB2312" w:eastAsia="楷体_GB2312" w:cs="楷体_GB2312"/>
          <w:b w:val="0"/>
          <w:sz w:val="32"/>
          <w:szCs w:val="22"/>
          <w:lang w:eastAsia="zh"/>
        </w:rPr>
        <w:t xml:space="preserve"> 测评容器健康检查要求</w:t>
      </w:r>
    </w:p>
    <w:p w14:paraId="134222BB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楷体_GB2312" w:hAnsi="楷体_GB2312" w:eastAsia="楷体_GB2312" w:cs="楷体_GB2312"/>
          <w:sz w:val="22"/>
          <w:szCs w:val="22"/>
          <w:lang w:eastAsia="zh"/>
        </w:rPr>
        <w:t xml:space="preserve"> </w:t>
      </w:r>
      <w:r>
        <w:rPr>
          <w:rFonts w:hint="eastAsia" w:ascii="Calibri" w:hAnsi="Calibri" w:eastAsia="仿宋_GB2312"/>
          <w:sz w:val="28"/>
          <w:szCs w:val="28"/>
          <w:lang w:eastAsia="zh"/>
        </w:rPr>
        <w:t>测评阶段需要创建容器类型为测评容器的容器实例，确保测评容器成功运行，才能在测评平台发起测评。</w:t>
      </w:r>
    </w:p>
    <w:p w14:paraId="33ED0840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266690" cy="2468245"/>
            <wp:effectExtent l="0" t="0" r="635" b="825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7076D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236210" cy="1460500"/>
            <wp:effectExtent l="0" t="0" r="2540" b="635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52D6C">
      <w:pPr>
        <w:spacing w:beforeLines="0" w:line="600" w:lineRule="exact"/>
        <w:ind w:firstLine="560" w:firstLineChars="200"/>
        <w:rPr>
          <w:rFonts w:hint="default" w:ascii="Calibri" w:hAnsi="Calibri" w:eastAsia="仿宋_GB2312"/>
          <w:sz w:val="28"/>
          <w:szCs w:val="28"/>
        </w:rPr>
      </w:pPr>
    </w:p>
    <w:p w14:paraId="14B5726C">
      <w:pPr>
        <w:spacing w:beforeLines="0" w:line="600" w:lineRule="exact"/>
        <w:ind w:firstLine="420"/>
        <w:rPr>
          <w:rFonts w:hint="default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创建测评容器实例时，需要保证整个测评过程中容器实例一直处于运行中状态，如果容器实例发生异常，平台将自动重新启动该容器实例。</w:t>
      </w:r>
    </w:p>
    <w:p w14:paraId="49F86780">
      <w:pPr>
        <w:spacing w:beforeLines="0" w:line="600" w:lineRule="exact"/>
        <w:ind w:firstLine="560" w:firstLineChars="200"/>
        <w:rPr>
          <w:rFonts w:hint="default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为保证平台能够检测到容器实例的运行状态，需在启动命令中启用健康检查服务，监听8000端口，接口路径为 /health，供平台检测</w:t>
      </w:r>
      <w:r>
        <w:rPr>
          <w:rFonts w:hint="eastAsia" w:ascii="Calibri" w:hAnsi="Calibri" w:eastAsia="仿宋_GB2312"/>
          <w:sz w:val="28"/>
          <w:szCs w:val="28"/>
          <w:lang w:eastAsia="zh"/>
        </w:rPr>
        <w:t>。</w:t>
      </w:r>
      <w:r>
        <w:rPr>
          <w:rFonts w:hint="eastAsia" w:ascii="Calibri" w:hAnsi="Calibri" w:eastAsia="仿宋_GB2312"/>
          <w:sz w:val="28"/>
          <w:szCs w:val="28"/>
        </w:rPr>
        <w:t>推理平台会自动监听8000端口，定期检查/health接口，以此确定推理服务，于活动状态。平台将启用启动、探活两个探针，推理服务需按规范提供健康检查接口，其中：</w:t>
      </w:r>
    </w:p>
    <w:p w14:paraId="26440CC2">
      <w:pPr>
        <w:numPr>
          <w:ilvl w:val="0"/>
          <w:numId w:val="3"/>
        </w:numPr>
        <w:spacing w:beforeLines="0" w:line="600" w:lineRule="exact"/>
        <w:ind w:firstLine="560" w:firstLineChars="200"/>
        <w:rPr>
          <w:rFonts w:hint="default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启动探针 ：5秒检查一次，最长等待1800秒（30分钟），请确保推理服务在30分钟内完成启动；容器启动成功后，将等待60秒进入就绪状态；</w:t>
      </w:r>
    </w:p>
    <w:p w14:paraId="0BD5B7F8">
      <w:pPr>
        <w:numPr>
          <w:ilvl w:val="0"/>
          <w:numId w:val="3"/>
        </w:numPr>
        <w:spacing w:beforeLines="0" w:line="600" w:lineRule="exact"/>
        <w:ind w:firstLine="560" w:firstLineChars="200"/>
        <w:rPr>
          <w:rFonts w:hint="default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探活探针：30秒检查一次，若探活失败</w:t>
      </w:r>
      <w:r>
        <w:rPr>
          <w:rFonts w:hint="eastAsia" w:ascii="Calibri" w:hAnsi="Calibri" w:eastAsia="仿宋_GB2312"/>
          <w:sz w:val="28"/>
          <w:szCs w:val="28"/>
          <w:lang w:eastAsia="zh"/>
        </w:rPr>
        <w:t>3次</w:t>
      </w:r>
      <w:r>
        <w:rPr>
          <w:rFonts w:hint="eastAsia" w:ascii="Calibri" w:hAnsi="Calibri" w:eastAsia="仿宋_GB2312"/>
          <w:sz w:val="28"/>
          <w:szCs w:val="28"/>
        </w:rPr>
        <w:t>，平台</w:t>
      </w:r>
      <w:r>
        <w:rPr>
          <w:rFonts w:hint="eastAsia" w:ascii="Calibri" w:hAnsi="Calibri" w:eastAsia="仿宋_GB2312"/>
          <w:sz w:val="28"/>
          <w:szCs w:val="28"/>
          <w:lang w:eastAsia="zh"/>
        </w:rPr>
        <w:t>将</w:t>
      </w:r>
      <w:r>
        <w:rPr>
          <w:rFonts w:hint="eastAsia" w:ascii="Calibri" w:hAnsi="Calibri" w:eastAsia="仿宋_GB2312"/>
          <w:sz w:val="28"/>
          <w:szCs w:val="28"/>
        </w:rPr>
        <w:t>自动重启</w:t>
      </w:r>
      <w:r>
        <w:rPr>
          <w:rFonts w:hint="eastAsia" w:ascii="Calibri" w:hAnsi="Calibri" w:eastAsia="仿宋_GB2312"/>
          <w:sz w:val="28"/>
          <w:szCs w:val="28"/>
          <w:lang w:eastAsia="zh"/>
        </w:rPr>
        <w:t>测评</w:t>
      </w:r>
      <w:r>
        <w:rPr>
          <w:rFonts w:hint="eastAsia" w:ascii="Calibri" w:hAnsi="Calibri" w:eastAsia="仿宋_GB2312"/>
          <w:sz w:val="28"/>
          <w:szCs w:val="28"/>
        </w:rPr>
        <w:t>容器实例。</w:t>
      </w:r>
    </w:p>
    <w:p w14:paraId="6340F8E7">
      <w:pPr>
        <w:spacing w:beforeLines="0" w:afterLines="0"/>
        <w:ind w:firstLine="420"/>
        <w:rPr>
          <w:rFonts w:hint="default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推理服务如果使用vllm框架，框架自动提供上述接口供探活使用，如果使用自定义框架或其他框架，需在8000端口提供/health服务，或将平台对/health接口请求转发到框架提供的健康检查接口，确保该接口返回HTTP 200状态码。</w:t>
      </w:r>
    </w:p>
    <w:p w14:paraId="12F62EA3">
      <w:pPr>
        <w:spacing w:beforeLines="0" w:afterLines="0"/>
        <w:ind w:firstLine="420"/>
        <w:rPr>
          <w:rFonts w:hint="default" w:ascii="Calibri" w:hAnsi="Calibri" w:eastAsia="仿宋_GB2312"/>
          <w:sz w:val="28"/>
          <w:szCs w:val="28"/>
        </w:rPr>
      </w:pPr>
    </w:p>
    <w:p w14:paraId="684E0801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注：训练阶段用的普通容器无法进行测评，不满足以下条件，将无法发起测评，赛事管理平台会显示推理服务状态异常</w:t>
      </w:r>
    </w:p>
    <w:p w14:paraId="658415AC">
      <w:pPr>
        <w:numPr>
          <w:ilvl w:val="0"/>
          <w:numId w:val="4"/>
        </w:num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创建容器类型为测评容器的容器实例</w:t>
      </w:r>
    </w:p>
    <w:p w14:paraId="592CCBB4">
      <w:pPr>
        <w:numPr>
          <w:ilvl w:val="0"/>
          <w:numId w:val="4"/>
        </w:num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测评容器开启8000端口</w:t>
      </w:r>
    </w:p>
    <w:p w14:paraId="3A255A0D">
      <w:pPr>
        <w:numPr>
          <w:ilvl w:val="0"/>
          <w:numId w:val="4"/>
        </w:num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测评容器在8000端口提供/health接口并</w:t>
      </w:r>
      <w:r>
        <w:rPr>
          <w:rFonts w:hint="eastAsia" w:ascii="Calibri" w:hAnsi="Calibri" w:eastAsia="仿宋_GB2312"/>
          <w:sz w:val="28"/>
          <w:szCs w:val="28"/>
        </w:rPr>
        <w:t>返回HTTP 200状态码</w:t>
      </w:r>
    </w:p>
    <w:p w14:paraId="74C16B9E">
      <w:pPr>
        <w:numPr>
          <w:ilvl w:val="0"/>
          <w:numId w:val="0"/>
        </w:numPr>
        <w:spacing w:beforeLines="0" w:afterLines="0"/>
        <w:ind w:left="420"/>
        <w:rPr>
          <w:rFonts w:hint="eastAsia" w:ascii="Calibri" w:hAnsi="Calibri" w:eastAsia="仿宋_GB2312"/>
          <w:sz w:val="28"/>
          <w:szCs w:val="28"/>
          <w:lang w:eastAsia="zh"/>
        </w:rPr>
      </w:pPr>
    </w:p>
    <w:p w14:paraId="4227CE72">
      <w:pPr>
        <w:numPr>
          <w:ilvl w:val="0"/>
          <w:numId w:val="0"/>
        </w:numPr>
        <w:spacing w:beforeLines="0" w:afterLines="0"/>
        <w:ind w:left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赛事管理平台发起测评页推理服务异常提示：</w:t>
      </w:r>
    </w:p>
    <w:p w14:paraId="4F1015B7">
      <w:pPr>
        <w:numPr>
          <w:ilvl w:val="0"/>
          <w:numId w:val="0"/>
        </w:numPr>
        <w:spacing w:beforeLines="0" w:afterLines="0"/>
        <w:ind w:left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测评容器未启动场景：</w:t>
      </w:r>
    </w:p>
    <w:p w14:paraId="4B87E91C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253990" cy="4074160"/>
            <wp:effectExtent l="0" t="0" r="3810" b="254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AE4F1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测评容器开始启动正常，但是后续健康检查不通过的场景提示：</w:t>
      </w:r>
    </w:p>
    <w:p w14:paraId="3AF803A8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318760" cy="3463290"/>
            <wp:effectExtent l="0" t="0" r="5715" b="3810"/>
            <wp:docPr id="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2A11B">
      <w:pPr>
        <w:numPr>
          <w:ilvl w:val="0"/>
          <w:numId w:val="0"/>
        </w:numPr>
        <w:spacing w:beforeLines="0" w:afterLines="0"/>
        <w:ind w:left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赛事管理平台发起测评页推理服务健康检查正常提示：</w:t>
      </w:r>
    </w:p>
    <w:p w14:paraId="772492EF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</w:p>
    <w:p w14:paraId="2304F606">
      <w:pPr>
        <w:spacing w:beforeLines="0" w:afterLines="0"/>
        <w:ind w:firstLine="420"/>
        <w:rPr>
          <w:rFonts w:hint="default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293995" cy="4149090"/>
            <wp:effectExtent l="0" t="0" r="1905" b="3810"/>
            <wp:docPr id="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3995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38B53">
      <w:pPr>
        <w:numPr>
          <w:ilvl w:val="0"/>
          <w:numId w:val="0"/>
        </w:numPr>
        <w:spacing w:beforeLines="0" w:afterLines="0"/>
        <w:ind w:left="420"/>
        <w:rPr>
          <w:rFonts w:hint="eastAsia" w:ascii="Calibri" w:hAnsi="Calibri" w:eastAsia="仿宋_GB2312"/>
          <w:sz w:val="28"/>
          <w:szCs w:val="28"/>
          <w:lang w:eastAsia="zh"/>
        </w:rPr>
      </w:pPr>
    </w:p>
    <w:p w14:paraId="68D6F0E1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</w:p>
    <w:p w14:paraId="02D5C81D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训练阶段的普通容器可以将脚本保存在队伍的存储下面，容器内挂载路径为：/2026aicompetition/workspace ，这样新建测评容器可以用公共镜像，相同的启动命令执行指定目录的脚本。</w:t>
      </w:r>
      <w:r>
        <w:rPr>
          <w:rFonts w:hint="eastAsia" w:ascii="Calibri" w:hAnsi="Calibri" w:eastAsia="仿宋_GB2312"/>
          <w:color w:val="FF0000"/>
          <w:sz w:val="28"/>
          <w:szCs w:val="28"/>
          <w:lang w:eastAsia="zh"/>
        </w:rPr>
        <w:t>（再次注意： 为保证过程中容器异常情况下，平台能够成功自动帮助拉起选手容器的推理服务，容器启动需要自动启动8000端口及/health，不然测评容器无法启动成功）</w:t>
      </w:r>
    </w:p>
    <w:p w14:paraId="78CD0195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如果有基于公共镜像的环境变化的，也可以保存普通容器的镜像 到自定义镜像仓库内，用于测评容器去使用。</w:t>
      </w:r>
    </w:p>
    <w:p w14:paraId="6D0A12F3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265420" cy="2884170"/>
            <wp:effectExtent l="0" t="0" r="1905" b="1905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D3F4C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第一次导出选择新建镜像仓库，编辑自己的镜像名称</w:t>
      </w:r>
    </w:p>
    <w:p w14:paraId="2E44427D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320665" cy="2863215"/>
            <wp:effectExtent l="0" t="0" r="3810" b="3810"/>
            <wp:docPr id="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0665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5C57A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</w:p>
    <w:p w14:paraId="3ED0F240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正在导出提示（需要等待一段时间，视镜像大小而定）</w:t>
      </w:r>
    </w:p>
    <w:p w14:paraId="3D6FB306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269865" cy="1023620"/>
            <wp:effectExtent l="0" t="0" r="6985" b="508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A097C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导出成功通知</w:t>
      </w:r>
    </w:p>
    <w:p w14:paraId="664CA841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273675" cy="1683385"/>
            <wp:effectExtent l="0" t="0" r="3175" b="254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0AA23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</w:p>
    <w:p w14:paraId="30A39FE5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创建容器实例时，可在自定义镜像列选择刚才导出的镜像</w:t>
      </w:r>
    </w:p>
    <w:p w14:paraId="3C1744BE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257165" cy="3242310"/>
            <wp:effectExtent l="0" t="0" r="635" b="5715"/>
            <wp:docPr id="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CFD91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</w:p>
    <w:p w14:paraId="62BA207B">
      <w:pPr>
        <w:spacing w:beforeLines="0" w:afterLines="0"/>
        <w:ind w:left="420"/>
        <w:rPr>
          <w:rFonts w:hint="eastAsia" w:ascii="Calibri" w:hAnsi="Calibri" w:eastAsia="宋体"/>
          <w:sz w:val="21"/>
          <w:szCs w:val="21"/>
        </w:rPr>
      </w:pPr>
    </w:p>
    <w:p w14:paraId="4A5AC869">
      <w:pPr>
        <w:pStyle w:val="2"/>
        <w:numPr>
          <w:ilvl w:val="0"/>
          <w:numId w:val="1"/>
        </w:numPr>
        <w:tabs>
          <w:tab w:val="left" w:pos="0"/>
        </w:tabs>
        <w:spacing w:before="340" w:after="330" w:line="560" w:lineRule="exact"/>
        <w:rPr>
          <w:rFonts w:hint="eastAsia" w:ascii="黑体" w:hAnsi="黑体" w:eastAsia="黑体" w:cs="黑体"/>
          <w:b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sz w:val="32"/>
          <w:szCs w:val="32"/>
          <w:lang w:eastAsia="zh"/>
        </w:rPr>
        <w:t>参赛选手输出文件</w:t>
      </w:r>
      <w:r>
        <w:rPr>
          <w:rFonts w:hint="eastAsia" w:ascii="黑体" w:hAnsi="黑体" w:eastAsia="黑体" w:cs="黑体"/>
          <w:b w:val="0"/>
          <w:sz w:val="32"/>
          <w:szCs w:val="32"/>
        </w:rPr>
        <w:t>格式</w:t>
      </w:r>
      <w:r>
        <w:rPr>
          <w:rFonts w:hint="eastAsia" w:ascii="黑体" w:hAnsi="黑体" w:eastAsia="黑体" w:cs="黑体"/>
          <w:b w:val="0"/>
          <w:sz w:val="32"/>
          <w:szCs w:val="32"/>
          <w:lang w:eastAsia="zh"/>
        </w:rPr>
        <w:t>要求</w:t>
      </w:r>
    </w:p>
    <w:p w14:paraId="30930C31">
      <w:pPr>
        <w:pStyle w:val="3"/>
        <w:numPr>
          <w:ilvl w:val="1"/>
          <w:numId w:val="1"/>
        </w:numPr>
        <w:tabs>
          <w:tab w:val="left" w:pos="0"/>
        </w:tabs>
        <w:spacing w:after="260"/>
        <w:rPr>
          <w:rFonts w:hint="eastAsia"/>
          <w:sz w:val="32"/>
          <w:szCs w:val="24"/>
          <w:lang w:eastAsia="zh"/>
        </w:rPr>
      </w:pPr>
      <w:r>
        <w:rPr>
          <w:rFonts w:hint="eastAsia" w:ascii="楷体_GB2312" w:hAnsi="楷体_GB2312" w:eastAsia="楷体_GB2312" w:cs="楷体_GB2312"/>
          <w:b w:val="0"/>
          <w:sz w:val="32"/>
          <w:szCs w:val="22"/>
          <w:lang w:eastAsia="zh"/>
        </w:rPr>
        <w:t>输出文件格式</w:t>
      </w:r>
    </w:p>
    <w:p w14:paraId="6B551D1D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Lines="0" w:afterAutospacing="0"/>
        <w:ind w:left="420" w:leftChars="0" w:right="0" w:rightChars="0" w:hanging="420" w:firstLineChars="0"/>
        <w:jc w:val="left"/>
        <w:rPr>
          <w:rFonts w:hint="eastAsia" w:ascii="仿宋" w:hAnsi="仿宋" w:eastAsia="仿宋" w:cs="Segoe UI"/>
          <w:b/>
          <w:bCs w:val="0"/>
          <w:color w:val="0F1115"/>
          <w:kern w:val="0"/>
          <w:sz w:val="24"/>
          <w:szCs w:val="24"/>
        </w:rPr>
      </w:pPr>
      <w:r>
        <w:rPr>
          <w:rFonts w:hint="eastAsia" w:ascii="仿宋_GB2312" w:eastAsia="仿宋_GB2312" w:cs="仿宋_GB2312"/>
          <w:b/>
          <w:bCs w:val="0"/>
          <w:kern w:val="2"/>
          <w:sz w:val="28"/>
          <w:szCs w:val="28"/>
        </w:rPr>
        <w:t>金标准格式说明</w:t>
      </w:r>
    </w:p>
    <w:p w14:paraId="2BC2FF03">
      <w:pPr>
        <w:keepNext w:val="0"/>
        <w:keepLines w:val="0"/>
        <w:widowControl w:val="0"/>
        <w:numPr>
          <w:ilvl w:val="0"/>
          <w:numId w:val="6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标注结果的文件格式为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.nii.gz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，输出目录结构如下，一级目录命名为患者号：</w:t>
      </w:r>
    </w:p>
    <w:p w14:paraId="692DC3E9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微软雅黑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5257800" cy="2562225"/>
            <wp:effectExtent l="0" t="0" r="0" b="0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Times New Roman"/>
          <w:kern w:val="0"/>
          <w:sz w:val="21"/>
          <w:szCs w:val="21"/>
          <w:lang w:val="en-US" w:eastAsia="zh-CN" w:bidi="ar"/>
        </w:rPr>
        <w:t xml:space="preserve"> </w:t>
      </w:r>
    </w:p>
    <w:p w14:paraId="080C386B">
      <w:pPr>
        <w:keepNext w:val="0"/>
        <w:keepLines w:val="0"/>
        <w:widowControl w:val="0"/>
        <w:numPr>
          <w:ilvl w:val="0"/>
          <w:numId w:val="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影像原始数据为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dicom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格式，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mask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.nii.gz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格式，输出命名为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M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、病灶，对病灶进行分类以及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tirads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分级标注，输出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.xlsx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表格如下：</w:t>
      </w:r>
    </w:p>
    <w:p w14:paraId="465E51A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微软雅黑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5257800" cy="3905250"/>
            <wp:effectExtent l="0" t="0" r="0" b="0"/>
            <wp:docPr id="16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 descr="IMG_25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Times New Roman"/>
          <w:kern w:val="0"/>
          <w:sz w:val="21"/>
          <w:szCs w:val="21"/>
          <w:lang w:val="en-US" w:eastAsia="zh-CN" w:bidi="ar"/>
        </w:rPr>
        <w:t xml:space="preserve"> </w:t>
      </w:r>
    </w:p>
    <w:p w14:paraId="16EF9689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表格字段介绍：</w:t>
      </w:r>
    </w:p>
    <w:p w14:paraId="414D2ADB">
      <w:pPr>
        <w:keepNext w:val="0"/>
        <w:keepLines w:val="0"/>
        <w:widowControl w:val="0"/>
        <w:numPr>
          <w:ilvl w:val="0"/>
          <w:numId w:val="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PatientId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：脱敏后患者号；</w:t>
      </w:r>
    </w:p>
    <w:p w14:paraId="51C7A776">
      <w:pPr>
        <w:keepNext w:val="0"/>
        <w:keepLines w:val="0"/>
        <w:widowControl w:val="0"/>
        <w:numPr>
          <w:ilvl w:val="0"/>
          <w:numId w:val="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AccessionNumber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：脱敏后检查号；</w:t>
      </w:r>
    </w:p>
    <w:p w14:paraId="715D1B28">
      <w:pPr>
        <w:keepNext w:val="0"/>
        <w:keepLines w:val="0"/>
        <w:widowControl w:val="0"/>
        <w:numPr>
          <w:ilvl w:val="0"/>
          <w:numId w:val="1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SeriesUid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：脱敏后序列号；</w:t>
      </w:r>
    </w:p>
    <w:p w14:paraId="2A613E8D">
      <w:pPr>
        <w:keepNext w:val="0"/>
        <w:keepLines w:val="0"/>
        <w:widowControl w:val="0"/>
        <w:numPr>
          <w:ilvl w:val="0"/>
          <w:numId w:val="1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DetailDescription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：序列描述；对于序列扫描期相的描述，一般包含层厚和期相内容；</w:t>
      </w:r>
    </w:p>
    <w:p w14:paraId="342FAD28">
      <w:pPr>
        <w:keepNext w:val="0"/>
        <w:keepLines w:val="0"/>
        <w:widowControl w:val="0"/>
        <w:numPr>
          <w:ilvl w:val="0"/>
          <w:numId w:val="1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RoiName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：标注结果名称，类别为：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M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、病灶；</w:t>
      </w:r>
    </w:p>
    <w:p w14:paraId="77AF76DA">
      <w:pPr>
        <w:keepNext w:val="0"/>
        <w:keepLines w:val="0"/>
        <w:widowControl w:val="0"/>
        <w:numPr>
          <w:ilvl w:val="0"/>
          <w:numId w:val="1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RoiVolume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 xml:space="preserve">： 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体积（面积）</w:t>
      </w:r>
    </w:p>
    <w:p w14:paraId="5FEC55D8">
      <w:pPr>
        <w:keepNext w:val="0"/>
        <w:keepLines w:val="0"/>
        <w:widowControl w:val="0"/>
        <w:numPr>
          <w:ilvl w:val="0"/>
          <w:numId w:val="14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RoiVoxelCount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体素数</w:t>
      </w:r>
    </w:p>
    <w:p w14:paraId="3E55F64D">
      <w:pPr>
        <w:keepNext w:val="0"/>
        <w:keepLines w:val="0"/>
        <w:widowControl w:val="0"/>
        <w:numPr>
          <w:ilvl w:val="0"/>
          <w:numId w:val="15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RoiHUMaxValue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：图像强度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/HU(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最大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)</w:t>
      </w:r>
    </w:p>
    <w:p w14:paraId="06B608C1">
      <w:pPr>
        <w:keepNext w:val="0"/>
        <w:keepLines w:val="0"/>
        <w:widowControl w:val="0"/>
        <w:numPr>
          <w:ilvl w:val="0"/>
          <w:numId w:val="16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RoiHUMinValue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：图像强度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/HU(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最小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)</w:t>
      </w:r>
    </w:p>
    <w:p w14:paraId="5601D6FD">
      <w:pPr>
        <w:keepNext w:val="0"/>
        <w:keepLines w:val="0"/>
        <w:widowControl w:val="0"/>
        <w:numPr>
          <w:ilvl w:val="0"/>
          <w:numId w:val="1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RoiHUAverageValue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：图像强度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/HU(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平均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)</w:t>
      </w:r>
    </w:p>
    <w:p w14:paraId="7CE8D581">
      <w:pPr>
        <w:keepNext w:val="0"/>
        <w:keepLines w:val="0"/>
        <w:widowControl w:val="0"/>
        <w:numPr>
          <w:ilvl w:val="0"/>
          <w:numId w:val="1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RoiHUStandardDeviation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：图像强度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/HU(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标准差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)</w:t>
      </w:r>
    </w:p>
    <w:p w14:paraId="1860229F">
      <w:pPr>
        <w:keepNext w:val="0"/>
        <w:keepLines w:val="0"/>
        <w:widowControl w:val="0"/>
        <w:numPr>
          <w:ilvl w:val="0"/>
          <w:numId w:val="1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STUDY-&gt;CLINICAL-&gt;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备注：分为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7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种类别：重点审核、图像质量问题跳过、序列缺失跳过、构建失败跳过、报告缺失跳过、阴性数据跳过、无；</w:t>
      </w:r>
    </w:p>
    <w:p w14:paraId="3DCA3E00">
      <w:pPr>
        <w:keepNext w:val="0"/>
        <w:keepLines w:val="0"/>
        <w:widowControl w:val="0"/>
        <w:numPr>
          <w:ilvl w:val="0"/>
          <w:numId w:val="2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ROI-&gt;CLINICAL-&gt;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良恶性：分为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3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类：良、恶、无；</w:t>
      </w:r>
    </w:p>
    <w:p w14:paraId="48DDCC5A">
      <w:pPr>
        <w:keepNext w:val="0"/>
        <w:keepLines w:val="0"/>
        <w:widowControl w:val="0"/>
        <w:numPr>
          <w:ilvl w:val="0"/>
          <w:numId w:val="2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ROI-&gt;CLINICAL-&gt;TI-RADS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：分为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5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I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/II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/III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/IV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/V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类；</w:t>
      </w:r>
    </w:p>
    <w:p w14:paraId="691D090A">
      <w:pPr>
        <w:keepNext w:val="0"/>
        <w:keepLines w:val="0"/>
        <w:widowControl w:val="0"/>
        <w:numPr>
          <w:ilvl w:val="0"/>
          <w:numId w:val="2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cancer_label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：甲状腺癌存在标签，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2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类：阳性、阴性；</w:t>
      </w:r>
    </w:p>
    <w:p w14:paraId="1D7BF0A2">
      <w:pPr>
        <w:keepNext w:val="0"/>
        <w:keepLines w:val="0"/>
        <w:widowControl w:val="0"/>
        <w:numPr>
          <w:ilvl w:val="0"/>
          <w:numId w:val="2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patho_histology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 xml:space="preserve">：病理结果 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-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组织学，分为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5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类：恶性肿瘤、非肿瘤性、交界性肿瘤、良性肿瘤、无；</w:t>
      </w:r>
    </w:p>
    <w:p w14:paraId="58A09907">
      <w:pPr>
        <w:keepNext w:val="0"/>
        <w:keepLines w:val="0"/>
        <w:widowControl w:val="0"/>
        <w:numPr>
          <w:ilvl w:val="0"/>
          <w:numId w:val="24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extrathy_ext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：甲状腺外侵犯，分为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6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类：甲状腺包膜、毗邻软组织、血管、无、无病灶（阴性）、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NA/UNK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；</w:t>
      </w:r>
    </w:p>
    <w:p w14:paraId="272C39B7">
      <w:pPr>
        <w:keepNext w:val="0"/>
        <w:keepLines w:val="0"/>
        <w:widowControl w:val="0"/>
        <w:numPr>
          <w:ilvl w:val="0"/>
          <w:numId w:val="25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esion_loc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：主病灶位置，分为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9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类：左上叶、左下叶、左中叶、右上叶、右下叶、右中叶、峡部、无（阴性）、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NA/UNK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；</w:t>
      </w:r>
    </w:p>
    <w:p w14:paraId="1FA270EA">
      <w:pPr>
        <w:keepNext w:val="0"/>
        <w:keepLines w:val="0"/>
        <w:widowControl w:val="0"/>
        <w:numPr>
          <w:ilvl w:val="0"/>
          <w:numId w:val="26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clin_t_stage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：临床显著性分级（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），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2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类：有、无。</w:t>
      </w:r>
    </w:p>
    <w:p w14:paraId="2343F05B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Lines="0" w:afterAutospacing="0" w:line="600" w:lineRule="exact"/>
        <w:ind w:left="0" w:right="0" w:firstLine="560" w:firstLineChars="200"/>
        <w:jc w:val="both"/>
        <w:rPr>
          <w:rFonts w:hint="default" w:ascii="Calibri" w:hAnsi="Calibri" w:eastAsia="仿宋_GB2312" w:cs="Times New Roman"/>
          <w:kern w:val="2"/>
          <w:sz w:val="28"/>
          <w:szCs w:val="28"/>
        </w:rPr>
      </w:pPr>
      <w:r>
        <w:rPr>
          <w:rFonts w:hint="default" w:ascii="Calibri" w:hAnsi="Calibri" w:eastAsia="仿宋_GB2312" w:cs="Times New Roman"/>
          <w:kern w:val="2"/>
          <w:sz w:val="28"/>
          <w:szCs w:val="28"/>
          <w:lang w:val="en-US" w:eastAsia="zh-CN" w:bidi="ar"/>
        </w:rPr>
        <w:t xml:space="preserve"> </w:t>
      </w:r>
    </w:p>
    <w:p w14:paraId="4DA811AA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Lines="0" w:afterAutospacing="0" w:line="600" w:lineRule="exact"/>
        <w:ind w:left="0" w:right="0" w:firstLine="560" w:firstLineChars="200"/>
        <w:jc w:val="both"/>
        <w:rPr>
          <w:rFonts w:hint="default" w:ascii="Calibri" w:hAnsi="Calibri" w:eastAsia="仿宋_GB2312" w:cs="Times New Roman"/>
          <w:kern w:val="2"/>
          <w:sz w:val="28"/>
          <w:szCs w:val="28"/>
        </w:rPr>
      </w:pPr>
      <w:r>
        <w:rPr>
          <w:rFonts w:hint="default" w:ascii="Calibri" w:hAnsi="Calibri" w:eastAsia="仿宋_GB2312" w:cs="Times New Roman"/>
          <w:kern w:val="2"/>
          <w:sz w:val="28"/>
          <w:szCs w:val="28"/>
          <w:lang w:val="en-US" w:eastAsia="zh-CN" w:bidi="ar"/>
        </w:rPr>
        <w:t xml:space="preserve"> </w:t>
      </w:r>
    </w:p>
    <w:p w14:paraId="38B96250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Lines="0" w:afterAutospacing="0"/>
        <w:ind w:left="420" w:leftChars="0" w:right="0" w:rightChars="0" w:hanging="420" w:firstLineChars="0"/>
        <w:jc w:val="left"/>
        <w:rPr>
          <w:rFonts w:hint="eastAsia" w:ascii="仿宋" w:hAnsi="仿宋" w:eastAsia="仿宋" w:cs="Segoe UI"/>
          <w:b/>
          <w:bCs w:val="0"/>
          <w:color w:val="0F1115"/>
          <w:kern w:val="0"/>
          <w:sz w:val="28"/>
          <w:szCs w:val="28"/>
        </w:rPr>
      </w:pPr>
      <w:r>
        <w:rPr>
          <w:rFonts w:hint="eastAsia" w:ascii="仿宋_GB2312" w:eastAsia="仿宋_GB2312" w:cs="仿宋_GB2312"/>
          <w:b/>
          <w:bCs w:val="0"/>
          <w:kern w:val="2"/>
          <w:sz w:val="28"/>
          <w:szCs w:val="28"/>
        </w:rPr>
        <w:t>预测输出格式说明</w:t>
      </w:r>
    </w:p>
    <w:p w14:paraId="563B1BC5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Autospacing="0" w:line="600" w:lineRule="exact"/>
        <w:ind w:left="0" w:right="0" w:firstLine="560" w:firstLineChars="200"/>
        <w:jc w:val="both"/>
        <w:rPr>
          <w:rFonts w:hint="eastAsia" w:ascii="仿宋" w:hAnsi="仿宋" w:eastAsia="仿宋" w:cs="仿宋"/>
          <w:color w:val="0F1115"/>
          <w:kern w:val="0"/>
          <w:sz w:val="28"/>
          <w:szCs w:val="28"/>
        </w:rPr>
      </w:pP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  <w:t>推理输出格式文件夹：推理输出输出到一个文件夹中，包含所有要求目标。其中每一个检查号（StudyUid）下面输出对应当前检查的预测json文件（prediction.json）及Mask文件。</w:t>
      </w:r>
    </w:p>
    <w:p w14:paraId="10F9CED3">
      <w:pPr>
        <w:keepNext w:val="0"/>
        <w:keepLines w:val="0"/>
        <w:widowControl/>
        <w:suppressLineNumbers w:val="0"/>
        <w:spacing w:before="240" w:beforeAutospacing="0" w:after="240" w:afterAutospacing="0"/>
        <w:ind w:left="0" w:right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  <w:t>推理输出格式与金标准相似，在目录下分两层文件夹存放，{StudyUid}/{SeriesUid}，其中预测结果文件放在StudyUid文件夹，并且文件名必须是prediction.json；分割掩码mask文件格式为.nii.gz，放在对应的SeriesUid文件夹中，并且应保证所有的mask文件均能正确与prediction.json对应字段一致。</w:t>
      </w: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重要说明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：甲状腺外侵犯、主病灶位置、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T临床显著性分级</w:t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仅对主病灶标注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，评估时仅针对匹配成功的主病灶。</w:t>
      </w:r>
    </w:p>
    <w:p w14:paraId="3DCA779A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Autospacing="0" w:line="600" w:lineRule="exact"/>
        <w:ind w:left="0" w:right="0" w:firstLine="560" w:firstLineChars="200"/>
        <w:jc w:val="both"/>
        <w:rPr>
          <w:rFonts w:hint="eastAsia" w:ascii="仿宋" w:hAnsi="仿宋" w:eastAsia="仿宋" w:cs="仿宋"/>
          <w:color w:val="0F1115"/>
          <w:kern w:val="0"/>
          <w:sz w:val="28"/>
          <w:szCs w:val="28"/>
        </w:rPr>
      </w:pP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  <w:t xml:space="preserve"> </w:t>
      </w:r>
    </w:p>
    <w:p w14:paraId="07EBBB2E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Lines="0" w:afterAutospacing="0"/>
        <w:ind w:left="0" w:right="0" w:firstLine="420" w:firstLineChars="200"/>
        <w:jc w:val="both"/>
        <w:rPr>
          <w:rFonts w:hint="eastAsia" w:ascii="Calibri" w:hAnsi="Calibri" w:eastAsia="仿宋_GB2312" w:cs="Times New Roman"/>
          <w:kern w:val="2"/>
          <w:sz w:val="28"/>
          <w:szCs w:val="28"/>
        </w:rPr>
      </w:pPr>
      <w:r>
        <w:rPr>
          <w:rFonts w:hint="default" w:ascii="Arial" w:hAnsi="Arial" w:eastAsia="微软雅黑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4743450" cy="2533650"/>
            <wp:effectExtent l="0" t="0" r="0" b="0"/>
            <wp:docPr id="17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 descr="IMG_25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Calibri" w:hAnsi="Calibri" w:eastAsia="仿宋_GB2312" w:cs="Times New Roman"/>
          <w:kern w:val="2"/>
          <w:sz w:val="28"/>
          <w:szCs w:val="28"/>
          <w:lang w:val="en-US" w:eastAsia="zh-CN" w:bidi="ar"/>
        </w:rPr>
        <w:t xml:space="preserve"> </w:t>
      </w:r>
    </w:p>
    <w:p w14:paraId="26004CE2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Lines="0" w:afterAutospacing="0"/>
        <w:ind w:left="0" w:leftChars="0" w:right="0" w:firstLine="0" w:firstLineChars="0"/>
        <w:jc w:val="both"/>
        <w:rPr>
          <w:rFonts w:hint="eastAsia" w:ascii="仿宋" w:hAnsi="仿宋" w:eastAsia="仿宋" w:cs="仿宋"/>
          <w:b/>
          <w:bCs/>
          <w:kern w:val="0"/>
          <w:sz w:val="27"/>
          <w:szCs w:val="27"/>
        </w:rPr>
      </w:pPr>
      <w:r>
        <w:rPr>
          <w:rFonts w:hint="eastAsia" w:ascii="仿宋" w:hAnsi="仿宋" w:eastAsia="仿宋" w:cs="仿宋"/>
          <w:b/>
          <w:bCs/>
          <w:kern w:val="0"/>
          <w:sz w:val="27"/>
          <w:szCs w:val="27"/>
          <w:lang w:val="en-US" w:eastAsia="zh-CN" w:bidi="ar"/>
        </w:rPr>
        <w:t>模型输出格式</w:t>
      </w:r>
    </w:p>
    <w:p w14:paraId="51B5E116">
      <w:pPr>
        <w:keepNext w:val="0"/>
        <w:keepLines w:val="0"/>
        <w:widowControl/>
        <w:suppressLineNumbers w:val="0"/>
        <w:spacing w:before="240" w:beforeAutospacing="0" w:after="240" w:afterAutospacing="0"/>
        <w:ind w:left="0" w:right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参赛模型需为每个预测结节输出</w:t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与金标准格式严格一致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的分割掩码文件。</w:t>
      </w:r>
    </w:p>
    <w:p w14:paraId="7E710176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静态数据</w:t>
      </w:r>
    </w:p>
    <w:p w14:paraId="7F1F5A4F">
      <w:pPr>
        <w:pStyle w:val="5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每个预测结节输出一个</w:t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独立的二值分割掩码文件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2D NIfTI格式，.nii或.nii.gz）。</w:t>
      </w:r>
    </w:p>
    <w:p w14:paraId="72559B5D">
      <w:pPr>
        <w:pStyle w:val="5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每个文件为二值掩码，像素值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1表示结节区域，0表示背景。</w:t>
      </w:r>
    </w:p>
    <w:p w14:paraId="3A55EBBD">
      <w:pPr>
        <w:pStyle w:val="5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阴性病例（无结节）输出空文件夹（不包含任何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nii文件）。</w:t>
      </w:r>
    </w:p>
    <w:p w14:paraId="2BE4DE25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动态数据</w:t>
      </w:r>
    </w:p>
    <w:p w14:paraId="0F0DD75E">
      <w:pPr>
        <w:pStyle w:val="5"/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每个预测结节输出一个</w:t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独立的三维分割掩码文件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3D NIfTI格式，.nii或.nii.gz），z轴对应帧序列，与输入视频的帧序列对齐。</w:t>
      </w:r>
    </w:p>
    <w:p w14:paraId="3658CA2F">
      <w:pPr>
        <w:pStyle w:val="5"/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每个文件为二值掩码，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z轴每个切片上像素值1表示该帧的结节区域，0表示背景。</w:t>
      </w:r>
    </w:p>
    <w:p w14:paraId="0C2F58A0">
      <w:pPr>
        <w:pStyle w:val="5"/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模型应在</w:t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所有帧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上输出分割结果（即三维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nii中每个z切片对应一帧的预测）。评估时仅对标注帧进行指标计算，未标注帧不纳入评分（详见5.0节）。</w:t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注意：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尽管评估仅计算标注帧的指标，但模型必须输出包含完整视频序列（所有帧）预测结果的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3D NIfTI文件，且帧数顺序需与输入视频严格对应，以便评估脚本正确提取对应切片。动态病例的AP计算采用</w:t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病灶级汇总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方式——每个预测病灶仅以其唯一的</w:t>
      </w: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Detection.confidence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进入全测试集排序一次，避免同一病灶因多个标注帧而被重复计数（详见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5.5节）。</w:t>
      </w:r>
    </w:p>
    <w:p w14:paraId="0958D232">
      <w:pPr>
        <w:pStyle w:val="5"/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阴性病例（无结节）输出空文件夹。</w:t>
      </w:r>
    </w:p>
    <w:p w14:paraId="146C5A3A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通用格式要求</w:t>
      </w:r>
    </w:p>
    <w:p w14:paraId="2B746FAA">
      <w:pPr>
        <w:pStyle w:val="5"/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强制格式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：必须使用</w:t>
      </w:r>
      <w:r>
        <w:rPr>
          <w:rFonts w:hint="eastAsia" w:ascii="仿宋" w:hAnsi="仿宋" w:eastAsia="仿宋" w:cs="Segoe UI"/>
          <w:b/>
          <w:bCs/>
          <w:kern w:val="0"/>
          <w:sz w:val="24"/>
          <w:szCs w:val="24"/>
          <w:lang w:val="en-US" w:eastAsia="zh-CN" w:bidi="ar"/>
        </w:rPr>
        <w:t>NIfTI格式（.nii 或 .nii.gz）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，可在文件头中保存像素间距、原点等空间元数据。</w:t>
      </w:r>
    </w:p>
    <w:p w14:paraId="5136DE32">
      <w:pPr>
        <w:pStyle w:val="5"/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像素编码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：每个文件为二值掩码，像素值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1表示结节区域，0表示背景。</w:t>
      </w:r>
    </w:p>
    <w:p w14:paraId="4B2602E8">
      <w:pPr>
        <w:pStyle w:val="5"/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空间一致性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：所有掩码文件的尺寸（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Height × Width）必须与对应的原始输入超声图像完全一致。</w:t>
      </w:r>
    </w:p>
    <w:p w14:paraId="6F6B7E79">
      <w:pPr>
        <w:bidi w:val="0"/>
        <w:ind w:firstLine="210" w:firstLineChars="100"/>
        <w:rPr>
          <w:rFonts w:hint="eastAsia"/>
        </w:rPr>
      </w:pPr>
      <w:r>
        <w:rPr>
          <w:rFonts w:hint="eastAsia"/>
          <w:lang w:val="en-US" w:eastAsia="zh-CN"/>
        </w:rPr>
        <w:t>主病灶标识规则</w:t>
      </w:r>
    </w:p>
    <w:p w14:paraId="3AF13A9A">
      <w:pPr>
        <w:pStyle w:val="5"/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金标准标识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：在标注团队提供的临床数据表格中，“RoiName”列的值为“M”的结节即为主病灶。非主病灶在上述字段为病灶1、病灶2,以此类推。</w:t>
      </w:r>
    </w:p>
    <w:p w14:paraId="3DF4CD0A">
      <w:pPr>
        <w:pStyle w:val="5"/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仿宋"/>
          <w:b/>
          <w:bCs/>
          <w:kern w:val="0"/>
          <w:sz w:val="27"/>
          <w:szCs w:val="27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参赛者须知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：模型应对所有检出的结节均输出完整的属性字段（</w:t>
      </w: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Malignancy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TI_RADS_Class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ExtrathyroidalExtension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Location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T_ClinSig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等），评估脚本会根据空间匹配结果自动判定哪个预测结节与主病灶对应。</w:t>
      </w:r>
    </w:p>
    <w:p w14:paraId="607C06CA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Lines="0" w:beforeAutospacing="1" w:after="0" w:afterLines="0" w:afterAutospacing="0"/>
        <w:ind w:right="0" w:rightChars="0"/>
        <w:jc w:val="left"/>
        <w:rPr>
          <w:rFonts w:hint="eastAsia" w:ascii="仿宋" w:hAnsi="仿宋" w:eastAsia="仿宋" w:cs="仿宋"/>
          <w:b/>
          <w:bCs/>
          <w:kern w:val="0"/>
          <w:sz w:val="27"/>
          <w:szCs w:val="27"/>
        </w:rPr>
      </w:pPr>
    </w:p>
    <w:p w14:paraId="78683CDB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静态数据——阳性病例</w:t>
      </w:r>
    </w:p>
    <w:p w14:paraId="04D609D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{</w:t>
      </w:r>
    </w:p>
    <w:p w14:paraId="6E63404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"StudyUID": "THY_US_POS_001",</w:t>
      </w:r>
    </w:p>
    <w:p w14:paraId="74FBE5E2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"ProcessingTime_ms": 1840,</w:t>
      </w:r>
    </w:p>
    <w:p w14:paraId="2B861E9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"Prediction": {</w:t>
      </w:r>
    </w:p>
    <w:p w14:paraId="627ABEA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"MaskFiles": [</w:t>
      </w:r>
    </w:p>
    <w:p w14:paraId="78818C7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"THY_US_POS_001_primary.nii.gz",</w:t>
      </w:r>
    </w:p>
    <w:p w14:paraId="1E58DBD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"THY_US_POS_001_nodule_2.nii.gz"</w:t>
      </w:r>
    </w:p>
    <w:p w14:paraId="416E8E4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],</w:t>
      </w:r>
    </w:p>
    <w:p w14:paraId="0847146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"Nodules": [</w:t>
      </w:r>
    </w:p>
    <w:p w14:paraId="672CDB7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{</w:t>
      </w:r>
    </w:p>
    <w:p w14:paraId="6039EED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"NoduleID": "N1",</w:t>
      </w:r>
    </w:p>
    <w:p w14:paraId="0682758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"MaskFile": "THY_US_POS_001_primary.nii.gz",</w:t>
      </w:r>
    </w:p>
    <w:p w14:paraId="47BB7B1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"Detection": {</w:t>
      </w:r>
    </w:p>
    <w:p w14:paraId="506B755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"confidence": 0.92</w:t>
      </w:r>
    </w:p>
    <w:p w14:paraId="5AE63C7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},</w:t>
      </w:r>
    </w:p>
    <w:p w14:paraId="225C443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"Malignancy": {</w:t>
      </w:r>
    </w:p>
    <w:p w14:paraId="75CABAE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"predicted": true,</w:t>
      </w:r>
    </w:p>
    <w:p w14:paraId="49555CF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"confidence": 0.96</w:t>
      </w:r>
    </w:p>
    <w:p w14:paraId="686B3F2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},</w:t>
      </w:r>
    </w:p>
    <w:p w14:paraId="3F04CEC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"TI_RADS_Class": 5,</w:t>
      </w:r>
    </w:p>
    <w:p w14:paraId="2670547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"ExtrathyroidalExtension": 2,</w:t>
      </w:r>
    </w:p>
    <w:p w14:paraId="70FB1F8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"Location": 4,</w:t>
      </w:r>
    </w:p>
    <w:p w14:paraId="0F4D289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"LocationProbs": [0.01, 0.02, 0.03, 0.85, 0.04, 0.03, 0.02],</w:t>
      </w:r>
    </w:p>
    <w:p w14:paraId="6B53D50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"T_ClinSig": {</w:t>
      </w:r>
    </w:p>
    <w:p w14:paraId="6E8E525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"T": 1,</w:t>
      </w:r>
    </w:p>
    <w:p w14:paraId="5263B37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"T_conf": 0.92</w:t>
      </w:r>
    </w:p>
    <w:p w14:paraId="555AE94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</w:t>
      </w:r>
    </w:p>
    <w:p w14:paraId="18AEF6B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},</w:t>
      </w:r>
    </w:p>
    <w:p w14:paraId="59B90F3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{</w:t>
      </w:r>
    </w:p>
    <w:p w14:paraId="7A7D658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"NoduleID": "N2",</w:t>
      </w:r>
    </w:p>
    <w:p w14:paraId="6510666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"MaskFile": "THY_US_POS_001_nodule_2.nii.gz",</w:t>
      </w:r>
    </w:p>
    <w:p w14:paraId="113E45F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"Detection": {</w:t>
      </w:r>
    </w:p>
    <w:p w14:paraId="3F09388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"confidence": 0.78</w:t>
      </w:r>
    </w:p>
    <w:p w14:paraId="12278DB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},</w:t>
      </w:r>
    </w:p>
    <w:p w14:paraId="57492E4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"Malignancy": {</w:t>
      </w:r>
    </w:p>
    <w:p w14:paraId="51D64A4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"predicted": false,</w:t>
      </w:r>
    </w:p>
    <w:p w14:paraId="72972C2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"confidence": 0.12</w:t>
      </w:r>
    </w:p>
    <w:p w14:paraId="08AA5FB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},</w:t>
      </w:r>
    </w:p>
    <w:p w14:paraId="601390B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"TI_RADS_Class": 2,</w:t>
      </w:r>
    </w:p>
    <w:p w14:paraId="59B0C51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"ExtrathyroidalExtension": 1,</w:t>
      </w:r>
    </w:p>
    <w:p w14:paraId="635DADF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"Location": 7,</w:t>
      </w:r>
    </w:p>
    <w:p w14:paraId="761DB09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"LocationProbs": [0.02, 0.01, 0.01, 0.03, 0.02, 0.01, 0.90],</w:t>
      </w:r>
    </w:p>
    <w:p w14:paraId="411AAB3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"T_ClinSig": {</w:t>
      </w:r>
    </w:p>
    <w:p w14:paraId="4A30799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"T": 0,</w:t>
      </w:r>
    </w:p>
    <w:p w14:paraId="7C3A361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"T_conf": 0.05</w:t>
      </w:r>
    </w:p>
    <w:p w14:paraId="68FEF7B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</w:t>
      </w:r>
    </w:p>
    <w:p w14:paraId="4E2CED0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}</w:t>
      </w:r>
    </w:p>
    <w:p w14:paraId="2F1556D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],</w:t>
      </w:r>
    </w:p>
    <w:p w14:paraId="6A9FD20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"Interpretation": {</w:t>
      </w:r>
    </w:p>
    <w:p w14:paraId="0F80F74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"Conclusion": "检出2个结节。结节1（右上叶）：恶性，TI-RADS 5类，甲状腺包膜侵犯，T有临床显著性。结节2（峡部）：良性，TI-RADS 2类，无侵犯。",</w:t>
      </w:r>
    </w:p>
    <w:p w14:paraId="10A8580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"KeyFindings": [</w:t>
      </w:r>
    </w:p>
    <w:p w14:paraId="13C7558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"结节数量：2",</w:t>
      </w:r>
    </w:p>
    <w:p w14:paraId="2BB7DA0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"恶性结节侵犯甲状腺包膜",</w:t>
      </w:r>
    </w:p>
    <w:p w14:paraId="6AAA33C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"T阳性"</w:t>
      </w:r>
    </w:p>
    <w:p w14:paraId="192983F2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]</w:t>
      </w:r>
    </w:p>
    <w:p w14:paraId="25D8016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7A29CD1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}</w:t>
      </w:r>
    </w:p>
    <w:p w14:paraId="51BC54F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}</w:t>
      </w:r>
    </w:p>
    <w:p w14:paraId="2729A6D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仿宋"/>
          <w:b/>
          <w:bCs/>
          <w:kern w:val="0"/>
          <w:sz w:val="27"/>
          <w:szCs w:val="27"/>
        </w:rPr>
      </w:pPr>
      <w:r>
        <w:rPr>
          <w:rFonts w:hint="eastAsia" w:ascii="仿宋" w:hAnsi="仿宋" w:eastAsia="仿宋" w:cs="仿宋"/>
          <w:b/>
          <w:bCs/>
          <w:kern w:val="0"/>
          <w:sz w:val="27"/>
          <w:szCs w:val="27"/>
          <w:lang w:val="en-US" w:eastAsia="zh-CN" w:bidi="ar"/>
        </w:rPr>
        <w:t>动态数据——阳性病例</w:t>
      </w:r>
    </w:p>
    <w:p w14:paraId="2FEF6F9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{</w:t>
      </w:r>
    </w:p>
    <w:p w14:paraId="6CE547D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"StudyUID": "THY_US_DYN_001",</w:t>
      </w:r>
    </w:p>
    <w:p w14:paraId="6986FB1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"ProcessingTime_ms": 3250,</w:t>
      </w:r>
    </w:p>
    <w:p w14:paraId="1379CFD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"Prediction": {</w:t>
      </w:r>
    </w:p>
    <w:p w14:paraId="1C2CB54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"MaskFiles": [</w:t>
      </w:r>
    </w:p>
    <w:p w14:paraId="4DAFD9A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"THY_US_DYN_001_primary.nii.gz",</w:t>
      </w:r>
    </w:p>
    <w:p w14:paraId="2613E89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"THY_US_DYN_001_nodule_2.nii.gz"</w:t>
      </w:r>
    </w:p>
    <w:p w14:paraId="12530EF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],</w:t>
      </w:r>
    </w:p>
    <w:p w14:paraId="18BC3A0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"Nodules": [</w:t>
      </w:r>
    </w:p>
    <w:p w14:paraId="222D9D92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{</w:t>
      </w:r>
    </w:p>
    <w:p w14:paraId="0E1D5E92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"NoduleID": "N1",</w:t>
      </w:r>
    </w:p>
    <w:p w14:paraId="1FF8C65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"MaskFile": "THY_US_DYN_001_primary.nii.gz",</w:t>
      </w:r>
    </w:p>
    <w:p w14:paraId="16CF122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"Detection": {</w:t>
      </w:r>
    </w:p>
    <w:p w14:paraId="72E4F13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"confidence": 0.92</w:t>
      </w:r>
    </w:p>
    <w:p w14:paraId="6D6F260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},</w:t>
      </w:r>
    </w:p>
    <w:p w14:paraId="2812E95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"Malignancy": {</w:t>
      </w:r>
    </w:p>
    <w:p w14:paraId="74EA076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"predicted": true,</w:t>
      </w:r>
    </w:p>
    <w:p w14:paraId="43BB2B6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"confidence": 0.96</w:t>
      </w:r>
    </w:p>
    <w:p w14:paraId="7E3B8A5B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},</w:t>
      </w:r>
    </w:p>
    <w:p w14:paraId="00D3753B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"TI_RADS_Class": 5,</w:t>
      </w:r>
    </w:p>
    <w:p w14:paraId="13CF9E9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"ExtrathyroidalExtension": 2,</w:t>
      </w:r>
    </w:p>
    <w:p w14:paraId="0DF7CF0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"Location": 4,</w:t>
      </w:r>
    </w:p>
    <w:p w14:paraId="66F34E3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"LocationProbs": [0.01, 0.02, 0.03, 0.85, 0.04, 0.03, 0.02],</w:t>
      </w:r>
    </w:p>
    <w:p w14:paraId="74FFF37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"T_ClinSig": {</w:t>
      </w:r>
    </w:p>
    <w:p w14:paraId="5E29362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"T": 1,</w:t>
      </w:r>
    </w:p>
    <w:p w14:paraId="3984D3D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"T_conf": 0.92</w:t>
      </w:r>
    </w:p>
    <w:p w14:paraId="42E06C4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</w:t>
      </w:r>
    </w:p>
    <w:p w14:paraId="1821E16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},</w:t>
      </w:r>
    </w:p>
    <w:p w14:paraId="503E5EF2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{</w:t>
      </w:r>
    </w:p>
    <w:p w14:paraId="180902C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"NoduleID": "N2",</w:t>
      </w:r>
    </w:p>
    <w:p w14:paraId="5A9FD76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"MaskFile": "THY_US_DYN_001_nodule_2.nii.gz",</w:t>
      </w:r>
    </w:p>
    <w:p w14:paraId="5190361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"Detection": {</w:t>
      </w:r>
    </w:p>
    <w:p w14:paraId="241A874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"confidence": 0.88</w:t>
      </w:r>
    </w:p>
    <w:p w14:paraId="613E56D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},</w:t>
      </w:r>
    </w:p>
    <w:p w14:paraId="7D3EC29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"Malignancy": {</w:t>
      </w:r>
    </w:p>
    <w:p w14:paraId="566CF4E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"predicted": false,</w:t>
      </w:r>
    </w:p>
    <w:p w14:paraId="7C2B1BF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"confidence": 0.15</w:t>
      </w:r>
    </w:p>
    <w:p w14:paraId="7A0CA07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},</w:t>
      </w:r>
    </w:p>
    <w:p w14:paraId="3E82E2D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"TI_RADS_Class": 2,</w:t>
      </w:r>
    </w:p>
    <w:p w14:paraId="5CE6F12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"ExtrathyroidalExtension": 1,</w:t>
      </w:r>
    </w:p>
    <w:p w14:paraId="6E065B2B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"Location": 7,</w:t>
      </w:r>
    </w:p>
    <w:p w14:paraId="0641B78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"LocationProbs": [0.02, 0.01, 0.01, 0.03, 0.02, 0.01, 0.90],</w:t>
      </w:r>
    </w:p>
    <w:p w14:paraId="573B7B4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"T_ClinSig": {</w:t>
      </w:r>
    </w:p>
    <w:p w14:paraId="6D226F5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"T": 0,</w:t>
      </w:r>
    </w:p>
    <w:p w14:paraId="646997F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"T_conf": 0.05</w:t>
      </w:r>
    </w:p>
    <w:p w14:paraId="7143AAA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</w:t>
      </w:r>
    </w:p>
    <w:p w14:paraId="4AD6212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}</w:t>
      </w:r>
    </w:p>
    <w:p w14:paraId="5F614EE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],</w:t>
      </w:r>
    </w:p>
    <w:p w14:paraId="14C1514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"Interpretation": {</w:t>
      </w:r>
    </w:p>
    <w:p w14:paraId="027E421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"Conclusion": "动态序列检出2个结节。主病灶（右上叶）：恶性，TI-RADS 5类，甲状腺包膜侵犯，T有临床显著性。结节2（峡部）：良性，TI-RADS 2类，无侵犯。",</w:t>
      </w:r>
    </w:p>
    <w:p w14:paraId="0C9BB18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"KeyFindings": [</w:t>
      </w:r>
    </w:p>
    <w:p w14:paraId="781E0BB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"结节数量：2",</w:t>
      </w:r>
    </w:p>
    <w:p w14:paraId="0DA7016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"恶性结节侵犯甲状腺包膜",</w:t>
      </w:r>
    </w:p>
    <w:p w14:paraId="77EBB06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"T阳性"</w:t>
      </w:r>
    </w:p>
    <w:p w14:paraId="4611D61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]</w:t>
      </w:r>
    </w:p>
    <w:p w14:paraId="53DC8CB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6E425DC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}</w:t>
      </w:r>
    </w:p>
    <w:p w14:paraId="76C457A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}</w:t>
      </w:r>
    </w:p>
    <w:p w14:paraId="665A6C5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仿宋"/>
          <w:b/>
          <w:bCs/>
          <w:kern w:val="0"/>
          <w:sz w:val="27"/>
          <w:szCs w:val="27"/>
        </w:rPr>
      </w:pPr>
      <w:r>
        <w:rPr>
          <w:rFonts w:hint="eastAsia" w:ascii="仿宋" w:hAnsi="仿宋" w:eastAsia="仿宋" w:cs="仿宋"/>
          <w:b/>
          <w:bCs/>
          <w:kern w:val="0"/>
          <w:sz w:val="27"/>
          <w:szCs w:val="27"/>
          <w:lang w:val="en-US" w:eastAsia="zh-CN" w:bidi="ar"/>
        </w:rPr>
        <w:t xml:space="preserve"> </w:t>
      </w:r>
    </w:p>
    <w:p w14:paraId="1421196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kern w:val="0"/>
          <w:sz w:val="27"/>
          <w:szCs w:val="27"/>
          <w:lang w:val="en-US" w:eastAsia="zh-CN" w:bidi="ar"/>
        </w:rPr>
        <w:t>阴性病例（无结节——适用于静态和动态）</w:t>
      </w: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{</w:t>
      </w:r>
    </w:p>
    <w:p w14:paraId="08E7C87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{</w:t>
      </w:r>
    </w:p>
    <w:p w14:paraId="1605E58B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"StudyUID": "THY_US_NEG_001",</w:t>
      </w:r>
    </w:p>
    <w:p w14:paraId="04E0D6E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"ProcessingTime_ms": 1020,</w:t>
      </w:r>
    </w:p>
    <w:p w14:paraId="524EDF6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"Prediction": {</w:t>
      </w:r>
    </w:p>
    <w:p w14:paraId="7285DC2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"MaskFiles": [],</w:t>
      </w:r>
    </w:p>
    <w:p w14:paraId="3087007B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"Nodules": [],</w:t>
      </w:r>
    </w:p>
    <w:p w14:paraId="36CAA16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"Interpretation": {</w:t>
      </w:r>
    </w:p>
    <w:p w14:paraId="1D23500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"Conclusion": "未见明确甲状腺结节。",</w:t>
      </w:r>
    </w:p>
    <w:p w14:paraId="06C8EB2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"KeyFindings": [</w:t>
      </w:r>
    </w:p>
    <w:p w14:paraId="30B57F8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"结节数量：0"</w:t>
      </w:r>
    </w:p>
    <w:p w14:paraId="5FE2CE6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]</w:t>
      </w:r>
    </w:p>
    <w:p w14:paraId="2DF3849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1BF5DBF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}</w:t>
      </w:r>
    </w:p>
    <w:p w14:paraId="595DD29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}</w:t>
      </w:r>
    </w:p>
    <w:p w14:paraId="382C6F2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Calibri" w:hAnsi="Calibri" w:eastAsia="仿宋_GB2312" w:cs="Times New Roman"/>
          <w:kern w:val="2"/>
          <w:sz w:val="28"/>
          <w:szCs w:val="28"/>
        </w:rPr>
      </w:pP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字段说明</w:t>
      </w:r>
    </w:p>
    <w:tbl>
      <w:tblPr>
        <w:tblStyle w:val="6"/>
        <w:tblW w:w="4998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5"/>
        <w:gridCol w:w="1440"/>
        <w:gridCol w:w="2178"/>
        <w:gridCol w:w="725"/>
      </w:tblGrid>
      <w:tr w14:paraId="52F6C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8E27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字段路径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726A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E1FD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值域</w:t>
            </w:r>
            <w:r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/说明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1EEC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</w:tr>
      <w:tr w14:paraId="47400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0112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StudyUID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F750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11A7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检查唯一标识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EFBB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3AFDB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5592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ProcessingTime_ms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25B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367C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推理耗时（毫秒）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C04E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31FA3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9513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Prediction.MaskFiles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EC0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string[]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B1B8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所有预测结节的掩码文件路径列表（</w:t>
            </w: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NIfTI格式）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8785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333A9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0954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Prediction.Nodules[]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7E00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array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CDA8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每个结节的预测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CD60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是（若无结节则为空数组）</w:t>
            </w:r>
          </w:p>
        </w:tc>
      </w:tr>
      <w:tr w14:paraId="2AEF7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3B30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NoduleID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ACF8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4281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结节唯一标识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A465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51008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313B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Nodules[].MaskFile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93C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B120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该结节对应的掩码文件名（与</w:t>
            </w: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MaskFiles列表对应）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D535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37BA6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4C8D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Nodules[].Detection.confidence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4A0A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1C4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[0, 1]，检测置信度（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病灶级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）。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非法值将视为</w:t>
            </w:r>
            <w:r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。对于动态数据，该置信度代表该病灶实例在整个视频序列中存在的置信度，同一病灶的所有标注帧共享该置信度。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CC5B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43852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C31A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Nodules[].Malignancy.predicted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0476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bool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1583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true/false，是否恶性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95B2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63B32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2CD2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Nodules[].Malignancy.confidence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39A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2012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[0, 1]，恶性置信度。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非法值将视为</w:t>
            </w:r>
            <w:r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BAD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11CC3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7AB0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Nodules[].TI_RADS_Class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3404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AB6F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1-5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865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是（每个结节）</w:t>
            </w:r>
          </w:p>
        </w:tc>
      </w:tr>
      <w:tr w14:paraId="06AAF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D481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Nodules[].ExtrathyroidalExtension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9E5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641C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1无,2包膜,3软组织,4血管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FA17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是（恶性结节必须，良性可为</w:t>
            </w: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1）</w:t>
            </w:r>
          </w:p>
        </w:tc>
      </w:tr>
      <w:tr w14:paraId="787FF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09E8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Nodules[].Location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0F5C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3E9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1-7，0仅当无结节时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3B4C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20675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B60F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Nodules[].LocationProbs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63F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float[7]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6478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每个位置类别（</w:t>
            </w: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1-7）的概率，顺序固定，和为1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54D4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62C6E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6E74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Nodules[].T_ClinSig.T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A4D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0CAC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0/1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F70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是（恶性结节必须，良性可</w:t>
            </w: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0）</w:t>
            </w:r>
          </w:p>
        </w:tc>
      </w:tr>
      <w:tr w14:paraId="1E62D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803E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Nodules[].T_ClinSig.T_conf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4A3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D8E8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[0, 1]，T临床显著性的置信度。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非法值将视为</w:t>
            </w:r>
            <w:r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D28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是（恶性结节）</w:t>
            </w:r>
          </w:p>
        </w:tc>
      </w:tr>
      <w:tr w14:paraId="1D3A0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E67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Interpretation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FE0C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object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6E3F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文本解释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475D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推荐</w:t>
            </w:r>
          </w:p>
        </w:tc>
      </w:tr>
    </w:tbl>
    <w:p w14:paraId="1A2B919E">
      <w:pPr>
        <w:keepNext w:val="0"/>
        <w:keepLines w:val="0"/>
        <w:widowControl/>
        <w:numPr>
          <w:ilvl w:val="0"/>
          <w:numId w:val="31"/>
        </w:numPr>
        <w:suppressLineNumbers w:val="0"/>
        <w:ind w:left="420" w:leftChars="0" w:hanging="420" w:firstLineChars="0"/>
        <w:jc w:val="left"/>
      </w:pPr>
    </w:p>
    <w:p w14:paraId="49DE7D08">
      <w:pPr>
        <w:spacing w:beforeLines="0" w:afterLines="0"/>
        <w:rPr>
          <w:rFonts w:hint="eastAsia"/>
          <w:sz w:val="21"/>
          <w:szCs w:val="24"/>
          <w:lang w:eastAsia="zh"/>
        </w:rPr>
      </w:pPr>
    </w:p>
    <w:p w14:paraId="66B177A6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</w:p>
    <w:p w14:paraId="7145D25A"/>
    <w:sectPr>
      <w:pgSz w:w="11906" w:h="16838"/>
      <w:pgMar w:top="1440" w:right="1800" w:bottom="1440" w:left="1800" w:header="851" w:footer="992" w:gutter="0"/>
      <w:lnNumType w:countBy="0" w:distance="360"/>
      <w:cols w:space="72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0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1CFDE"/>
    <w:multiLevelType w:val="multilevel"/>
    <w:tmpl w:val="8071CFD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default"/>
        <w:u w:val="none" w:color="auto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">
    <w:nsid w:val="89F71892"/>
    <w:multiLevelType w:val="multilevel"/>
    <w:tmpl w:val="89F71892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">
    <w:nsid w:val="A3355B37"/>
    <w:multiLevelType w:val="multilevel"/>
    <w:tmpl w:val="A3355B37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3">
    <w:nsid w:val="A413D1AD"/>
    <w:multiLevelType w:val="multilevel"/>
    <w:tmpl w:val="A413D1AD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4">
    <w:nsid w:val="ADA43FBE"/>
    <w:multiLevelType w:val="multilevel"/>
    <w:tmpl w:val="ADA43FBE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5">
    <w:nsid w:val="B3649477"/>
    <w:multiLevelType w:val="multilevel"/>
    <w:tmpl w:val="B3649477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6">
    <w:nsid w:val="C7E380E1"/>
    <w:multiLevelType w:val="multilevel"/>
    <w:tmpl w:val="C7E380E1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7">
    <w:nsid w:val="CAD288FC"/>
    <w:multiLevelType w:val="multilevel"/>
    <w:tmpl w:val="CAD288F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 w:cs="Wingdings"/>
      </w:rPr>
    </w:lvl>
  </w:abstractNum>
  <w:abstractNum w:abstractNumId="8">
    <w:nsid w:val="D3AF1F70"/>
    <w:multiLevelType w:val="multilevel"/>
    <w:tmpl w:val="D3AF1F70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9">
    <w:nsid w:val="D905C925"/>
    <w:multiLevelType w:val="multilevel"/>
    <w:tmpl w:val="D905C925"/>
    <w:lvl w:ilvl="0" w:tentative="0">
      <w:start w:val="2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10">
    <w:nsid w:val="E69EF569"/>
    <w:multiLevelType w:val="multilevel"/>
    <w:tmpl w:val="E69EF569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default" w:ascii="Times New Roman" w:hAnsi="Times New Roman" w:cs="Times New Roman"/>
      </w:rPr>
    </w:lvl>
  </w:abstractNum>
  <w:abstractNum w:abstractNumId="11">
    <w:nsid w:val="E85A80EA"/>
    <w:multiLevelType w:val="multilevel"/>
    <w:tmpl w:val="E85A80EA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12">
    <w:nsid w:val="F23B36E1"/>
    <w:multiLevelType w:val="multilevel"/>
    <w:tmpl w:val="F23B36E1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13">
    <w:nsid w:val="F5E322A7"/>
    <w:multiLevelType w:val="multilevel"/>
    <w:tmpl w:val="F5E322A7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14">
    <w:nsid w:val="F6332B11"/>
    <w:multiLevelType w:val="multilevel"/>
    <w:tmpl w:val="F6332B11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15">
    <w:nsid w:val="F7FB0E6E"/>
    <w:multiLevelType w:val="multilevel"/>
    <w:tmpl w:val="F7FB0E6E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16">
    <w:nsid w:val="FBFA1A40"/>
    <w:multiLevelType w:val="multilevel"/>
    <w:tmpl w:val="FBFA1A40"/>
    <w:lvl w:ilvl="0" w:tentative="0">
      <w:start w:val="1"/>
      <w:numFmt w:val="decimal"/>
      <w:suff w:val="nothing"/>
      <w:lvlText w:val="%1、"/>
      <w:lvlJc w:val="left"/>
      <w:rPr>
        <w:rFonts w:hint="default"/>
        <w:u w:val="none" w:color="auto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7">
    <w:nsid w:val="FF5B8AD9"/>
    <w:multiLevelType w:val="multilevel"/>
    <w:tmpl w:val="FF5B8AD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u w:val="none" w:color="auto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  <w:u w:val="none" w:color="auto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  <w:u w:val="none" w:color="auto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  <w:u w:val="none" w:color="auto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  <w:u w:val="none" w:color="auto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  <w:u w:val="none" w:color="auto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  <w:u w:val="none" w:color="auto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  <w:u w:val="none" w:color="auto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  <w:u w:val="none" w:color="auto"/>
      </w:rPr>
    </w:lvl>
  </w:abstractNum>
  <w:abstractNum w:abstractNumId="18">
    <w:nsid w:val="01F68BD2"/>
    <w:multiLevelType w:val="multilevel"/>
    <w:tmpl w:val="01F68BD2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19">
    <w:nsid w:val="0D648092"/>
    <w:multiLevelType w:val="multilevel"/>
    <w:tmpl w:val="0D648092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0">
    <w:nsid w:val="23DA596B"/>
    <w:multiLevelType w:val="multilevel"/>
    <w:tmpl w:val="23DA596B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1">
    <w:nsid w:val="2A8AF34D"/>
    <w:multiLevelType w:val="multilevel"/>
    <w:tmpl w:val="2A8AF34D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2">
    <w:nsid w:val="2B38836C"/>
    <w:multiLevelType w:val="multilevel"/>
    <w:tmpl w:val="2B38836C"/>
    <w:lvl w:ilvl="0" w:tentative="0">
      <w:start w:val="1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3">
    <w:nsid w:val="3F1FBE45"/>
    <w:multiLevelType w:val="multilevel"/>
    <w:tmpl w:val="3F1FBE4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 w:cs="Wingdings"/>
      </w:rPr>
    </w:lvl>
  </w:abstractNum>
  <w:abstractNum w:abstractNumId="24">
    <w:nsid w:val="3F6350C1"/>
    <w:multiLevelType w:val="multilevel"/>
    <w:tmpl w:val="3F6350C1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5">
    <w:nsid w:val="45829887"/>
    <w:multiLevelType w:val="multilevel"/>
    <w:tmpl w:val="45829887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default" w:ascii="Times New Roman" w:hAnsi="Times New Roman" w:cs="Times New Roman"/>
      </w:rPr>
    </w:lvl>
  </w:abstractNum>
  <w:abstractNum w:abstractNumId="26">
    <w:nsid w:val="4E9D13D7"/>
    <w:multiLevelType w:val="singleLevel"/>
    <w:tmpl w:val="4E9D13D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7">
    <w:nsid w:val="524275C9"/>
    <w:multiLevelType w:val="multilevel"/>
    <w:tmpl w:val="524275C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 w:cs="Wingdings"/>
      </w:rPr>
    </w:lvl>
  </w:abstractNum>
  <w:abstractNum w:abstractNumId="28">
    <w:nsid w:val="61BAC410"/>
    <w:multiLevelType w:val="multilevel"/>
    <w:tmpl w:val="61BAC410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9">
    <w:nsid w:val="66EE1756"/>
    <w:multiLevelType w:val="multilevel"/>
    <w:tmpl w:val="66EE1756"/>
    <w:lvl w:ilvl="0" w:tentative="0">
      <w:start w:val="1"/>
      <w:numFmt w:val="decimal"/>
      <w:suff w:val="nothing"/>
      <w:lvlText w:val="%1、"/>
      <w:lvlJc w:val="left"/>
      <w:rPr>
        <w:rFonts w:hint="default"/>
        <w:u w:val="none" w:color="auto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0">
    <w:nsid w:val="6874FBA8"/>
    <w:multiLevelType w:val="multilevel"/>
    <w:tmpl w:val="6874FBA8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num w:numId="1">
    <w:abstractNumId w:val="17"/>
  </w:num>
  <w:num w:numId="2">
    <w:abstractNumId w:val="16"/>
  </w:num>
  <w:num w:numId="3">
    <w:abstractNumId w:val="0"/>
  </w:num>
  <w:num w:numId="4">
    <w:abstractNumId w:val="29"/>
  </w:num>
  <w:num w:numId="5">
    <w:abstractNumId w:val="23"/>
  </w:num>
  <w:num w:numId="6">
    <w:abstractNumId w:val="22"/>
  </w:num>
  <w:num w:numId="7">
    <w:abstractNumId w:val="9"/>
  </w:num>
  <w:num w:numId="8">
    <w:abstractNumId w:val="3"/>
  </w:num>
  <w:num w:numId="9">
    <w:abstractNumId w:val="4"/>
  </w:num>
  <w:num w:numId="10">
    <w:abstractNumId w:val="12"/>
  </w:num>
  <w:num w:numId="11">
    <w:abstractNumId w:val="13"/>
  </w:num>
  <w:num w:numId="12">
    <w:abstractNumId w:val="15"/>
  </w:num>
  <w:num w:numId="13">
    <w:abstractNumId w:val="1"/>
  </w:num>
  <w:num w:numId="14">
    <w:abstractNumId w:val="8"/>
  </w:num>
  <w:num w:numId="15">
    <w:abstractNumId w:val="2"/>
  </w:num>
  <w:num w:numId="16">
    <w:abstractNumId w:val="6"/>
  </w:num>
  <w:num w:numId="17">
    <w:abstractNumId w:val="18"/>
  </w:num>
  <w:num w:numId="18">
    <w:abstractNumId w:val="24"/>
  </w:num>
  <w:num w:numId="19">
    <w:abstractNumId w:val="5"/>
  </w:num>
  <w:num w:numId="20">
    <w:abstractNumId w:val="11"/>
  </w:num>
  <w:num w:numId="21">
    <w:abstractNumId w:val="20"/>
  </w:num>
  <w:num w:numId="22">
    <w:abstractNumId w:val="28"/>
  </w:num>
  <w:num w:numId="23">
    <w:abstractNumId w:val="14"/>
  </w:num>
  <w:num w:numId="24">
    <w:abstractNumId w:val="30"/>
  </w:num>
  <w:num w:numId="25">
    <w:abstractNumId w:val="21"/>
  </w:num>
  <w:num w:numId="26">
    <w:abstractNumId w:val="19"/>
  </w:num>
  <w:num w:numId="27">
    <w:abstractNumId w:val="27"/>
  </w:num>
  <w:num w:numId="28">
    <w:abstractNumId w:val="7"/>
  </w:num>
  <w:num w:numId="29">
    <w:abstractNumId w:val="25"/>
  </w:num>
  <w:num w:numId="30">
    <w:abstractNumId w:val="10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A262460"/>
    <w:rsid w:val="0AAE6112"/>
    <w:rsid w:val="6024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unhideWhenUsed/>
    <w:qFormat/>
    <w:uiPriority w:val="0"/>
    <w:pPr>
      <w:keepNext/>
      <w:keepLines/>
      <w:spacing w:before="260" w:after="220"/>
      <w:outlineLvl w:val="0"/>
    </w:pPr>
    <w:rPr>
      <w:rFonts w:hint="default"/>
      <w:b/>
      <w:kern w:val="44"/>
      <w:sz w:val="36"/>
      <w:szCs w:val="2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00"/>
      <w:outlineLvl w:val="1"/>
    </w:pPr>
    <w:rPr>
      <w:rFonts w:hint="default"/>
      <w:b/>
      <w:sz w:val="32"/>
      <w:szCs w:val="24"/>
    </w:rPr>
  </w:style>
  <w:style w:type="paragraph" w:styleId="4">
    <w:name w:val="heading 6"/>
    <w:basedOn w:val="1"/>
    <w:next w:val="1"/>
    <w:unhideWhenUsed/>
    <w:qFormat/>
    <w:uiPriority w:val="0"/>
    <w:pPr>
      <w:keepNext/>
      <w:keepLines/>
      <w:spacing w:before="240" w:after="120"/>
      <w:outlineLvl w:val="5"/>
    </w:pPr>
    <w:rPr>
      <w:rFonts w:hint="default"/>
      <w:b/>
      <w:sz w:val="24"/>
      <w:szCs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nhideWhenUsed/>
    <w:qFormat/>
    <w:uiPriority w:val="0"/>
    <w:pPr>
      <w:spacing w:beforeLines="0" w:afterLines="0"/>
    </w:pPr>
    <w:rPr>
      <w:rFonts w:hint="default"/>
      <w:sz w:val="24"/>
      <w:szCs w:val="24"/>
    </w:rPr>
  </w:style>
  <w:style w:type="character" w:styleId="8">
    <w:name w:val="HTML Code"/>
    <w:basedOn w:val="7"/>
    <w:unhideWhenUsed/>
    <w:qFormat/>
    <w:uiPriority w:val="0"/>
    <w:rPr>
      <w:rFonts w:hint="default" w:ascii="Courier New" w:hAnsi="Courier New"/>
      <w:sz w:val="20"/>
      <w:szCs w:val="24"/>
    </w:rPr>
  </w:style>
  <w:style w:type="paragraph" w:customStyle="1" w:styleId="9">
    <w:name w:val="List Paragraph"/>
    <w:basedOn w:val="1"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Calibri" w:hAnsi="Calibri" w:eastAsia="宋体" w:cs="Times New Roman"/>
      <w:kern w:val="2"/>
      <w:sz w:val="21"/>
      <w:szCs w:val="21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5315</Words>
  <Characters>14041</Characters>
  <Lines>0</Lines>
  <Paragraphs>0</Paragraphs>
  <TotalTime>9</TotalTime>
  <ScaleCrop>false</ScaleCrop>
  <LinksUpToDate>false</LinksUpToDate>
  <CharactersWithSpaces>15543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2026-07-31T03:29:00Z</dcterms:created>
  <dc:creator>徐奥博</dc:creator>
  <cp:lastModifiedBy>徐奥博</cp:lastModifiedBy>
  <dcterms:modified xsi:type="dcterms:W3CDTF">2026-07-31T03:53:25Z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FF26AA1F36BE4C968A8B783AEA37E9F7_13</vt:lpwstr>
  </property>
  <property fmtid="{D5CDD505-2E9C-101B-9397-08002B2CF9AE}" pid="4" name="KSOTemplateDocerSaveRecord">
    <vt:lpwstr>eyJoZGlkIjoiMmEzNjQxYjI1MTVkYjcxMGU5ZGU5YTJhM2Q1YTUwZjQiLCJ1c2VySWQiOiIxNzI1OTI4OTUzIn0=</vt:lpwstr>
  </property>
</Properties>
</file>