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200" w:after="283"/>
        <w:rPr/>
      </w:pPr>
      <w:r>
        <w:rPr/>
        <w:t xml:space="preserve">📄 </w:t>
      </w:r>
      <w:r>
        <w:rPr/>
        <w:t>Project Report: Model Evaluation for Customer Subscription Prediction</w:t>
      </w:r>
    </w:p>
    <w:p>
      <w:pPr>
        <w:pStyle w:val="Heading3"/>
        <w:spacing w:before="200" w:after="283"/>
        <w:rPr/>
      </w:pPr>
      <w:r>
        <w:rPr/>
        <w:t xml:space="preserve">🔍 </w:t>
      </w:r>
      <w:r>
        <w:rPr/>
        <w:t>Objective</w:t>
      </w:r>
    </w:p>
    <w:p>
      <w:pPr>
        <w:pStyle w:val="BodyText"/>
        <w:rPr/>
      </w:pPr>
      <w:r>
        <w:rPr/>
        <w:t>The objective of this project was to build a classification model to predict whether a customer would subscribe to a term deposit based on data from a direct marketing campaign of a banking institution. The dataset presents class imbalance, with relatively few customers subscribing compared to the majority who do not.</w:t>
      </w:r>
    </w:p>
    <w:p>
      <w:pPr>
        <w:pStyle w:val="HorizontalLine"/>
        <w:rPr/>
      </w:pPr>
      <w:r>
        <w:rPr/>
      </w:r>
    </w:p>
    <w:p>
      <w:pPr>
        <w:pStyle w:val="Heading2"/>
        <w:spacing w:before="200" w:after="283"/>
        <w:rPr/>
      </w:pPr>
      <w:r>
        <w:rPr/>
        <w:t xml:space="preserve">📊 </w:t>
      </w:r>
      <w:r>
        <w:rPr/>
        <w:t>Model Performance Overview</w:t>
      </w:r>
    </w:p>
    <w:p>
      <w:pPr>
        <w:pStyle w:val="Heading3"/>
        <w:spacing w:before="200" w:after="283"/>
        <w:rPr/>
      </w:pPr>
      <w:r>
        <w:rPr/>
        <w:t xml:space="preserve">📂 </w:t>
      </w:r>
      <w:r>
        <w:rPr/>
        <w:t xml:space="preserve">Test Set 1 (20% split from </w:t>
      </w:r>
      <w:r>
        <w:rPr>
          <w:rStyle w:val="SourceText"/>
        </w:rPr>
        <w:t>bank-full.csv</w:t>
      </w:r>
      <w:r>
        <w:rPr/>
        <w:t>)</w:t>
      </w:r>
    </w:p>
    <w:tbl>
      <w:tblPr>
        <w:tblW w:w="1913" w:type="dxa"/>
        <w:jc w:val="left"/>
        <w:tblInd w:w="28" w:type="dxa"/>
        <w:tblLayout w:type="fixed"/>
        <w:tblCellMar>
          <w:top w:w="28" w:type="dxa"/>
          <w:left w:w="28" w:type="dxa"/>
          <w:bottom w:w="28" w:type="dxa"/>
          <w:right w:w="28" w:type="dxa"/>
        </w:tblCellMar>
      </w:tblPr>
      <w:tblGrid>
        <w:gridCol w:w="1092"/>
        <w:gridCol w:w="821"/>
      </w:tblGrid>
      <w:tr>
        <w:trPr>
          <w:tblHeader w:val="true"/>
        </w:trPr>
        <w:tc>
          <w:tcPr>
            <w:tcW w:w="1092" w:type="dxa"/>
            <w:tcBorders/>
            <w:vAlign w:val="center"/>
          </w:tcPr>
          <w:p>
            <w:pPr>
              <w:pStyle w:val="TableHeading"/>
              <w:suppressLineNumbers/>
              <w:spacing w:before="0" w:after="200"/>
              <w:jc w:val="center"/>
              <w:rPr/>
            </w:pPr>
            <w:r>
              <w:rPr>
                <w:rStyle w:val="Strong"/>
                <w:b/>
                <w:bCs/>
              </w:rPr>
              <w:t>Metric</w:t>
            </w:r>
          </w:p>
        </w:tc>
        <w:tc>
          <w:tcPr>
            <w:tcW w:w="821" w:type="dxa"/>
            <w:tcBorders/>
            <w:vAlign w:val="center"/>
          </w:tcPr>
          <w:p>
            <w:pPr>
              <w:pStyle w:val="TableHeading"/>
              <w:suppressLineNumbers/>
              <w:spacing w:before="0" w:after="200"/>
              <w:jc w:val="center"/>
              <w:rPr/>
            </w:pPr>
            <w:r>
              <w:rPr>
                <w:rStyle w:val="Strong"/>
                <w:b/>
                <w:bCs/>
              </w:rPr>
              <w:t>Value</w:t>
            </w:r>
          </w:p>
        </w:tc>
      </w:tr>
      <w:tr>
        <w:trPr/>
        <w:tc>
          <w:tcPr>
            <w:tcW w:w="1092" w:type="dxa"/>
            <w:tcBorders/>
            <w:vAlign w:val="center"/>
          </w:tcPr>
          <w:p>
            <w:pPr>
              <w:pStyle w:val="TableContents"/>
              <w:widowControl w:val="false"/>
              <w:suppressLineNumbers/>
              <w:spacing w:before="0" w:after="200"/>
              <w:rPr/>
            </w:pPr>
            <w:r>
              <w:rPr/>
              <w:t>Accuracy</w:t>
            </w:r>
          </w:p>
        </w:tc>
        <w:tc>
          <w:tcPr>
            <w:tcW w:w="821" w:type="dxa"/>
            <w:tcBorders/>
            <w:vAlign w:val="center"/>
          </w:tcPr>
          <w:p>
            <w:pPr>
              <w:pStyle w:val="TableContents"/>
              <w:widowControl w:val="false"/>
              <w:suppressLineNumbers/>
              <w:spacing w:before="0" w:after="200"/>
              <w:rPr/>
            </w:pPr>
            <w:r>
              <w:rPr/>
              <w:t>0.942</w:t>
            </w:r>
          </w:p>
        </w:tc>
      </w:tr>
      <w:tr>
        <w:trPr/>
        <w:tc>
          <w:tcPr>
            <w:tcW w:w="1092" w:type="dxa"/>
            <w:tcBorders/>
            <w:vAlign w:val="center"/>
          </w:tcPr>
          <w:p>
            <w:pPr>
              <w:pStyle w:val="TableContents"/>
              <w:widowControl w:val="false"/>
              <w:suppressLineNumbers/>
              <w:spacing w:before="0" w:after="200"/>
              <w:rPr/>
            </w:pPr>
            <w:r>
              <w:rPr/>
              <w:t>Precision</w:t>
            </w:r>
          </w:p>
        </w:tc>
        <w:tc>
          <w:tcPr>
            <w:tcW w:w="821" w:type="dxa"/>
            <w:tcBorders/>
            <w:vAlign w:val="center"/>
          </w:tcPr>
          <w:p>
            <w:pPr>
              <w:pStyle w:val="TableContents"/>
              <w:widowControl w:val="false"/>
              <w:suppressLineNumbers/>
              <w:spacing w:before="0" w:after="200"/>
              <w:rPr/>
            </w:pPr>
            <w:r>
              <w:rPr/>
              <w:t>0.9266</w:t>
            </w:r>
          </w:p>
        </w:tc>
      </w:tr>
      <w:tr>
        <w:trPr/>
        <w:tc>
          <w:tcPr>
            <w:tcW w:w="1092" w:type="dxa"/>
            <w:tcBorders/>
            <w:vAlign w:val="center"/>
          </w:tcPr>
          <w:p>
            <w:pPr>
              <w:pStyle w:val="TableContents"/>
              <w:widowControl w:val="false"/>
              <w:suppressLineNumbers/>
              <w:spacing w:before="0" w:after="200"/>
              <w:rPr/>
            </w:pPr>
            <w:r>
              <w:rPr/>
              <w:t>Recall</w:t>
            </w:r>
          </w:p>
        </w:tc>
        <w:tc>
          <w:tcPr>
            <w:tcW w:w="821" w:type="dxa"/>
            <w:tcBorders/>
            <w:vAlign w:val="center"/>
          </w:tcPr>
          <w:p>
            <w:pPr>
              <w:pStyle w:val="TableContents"/>
              <w:widowControl w:val="false"/>
              <w:suppressLineNumbers/>
              <w:spacing w:before="0" w:after="200"/>
              <w:rPr/>
            </w:pPr>
            <w:r>
              <w:rPr/>
              <w:t>0.960</w:t>
            </w:r>
          </w:p>
        </w:tc>
      </w:tr>
      <w:tr>
        <w:trPr/>
        <w:tc>
          <w:tcPr>
            <w:tcW w:w="1092" w:type="dxa"/>
            <w:tcBorders/>
            <w:vAlign w:val="center"/>
          </w:tcPr>
          <w:p>
            <w:pPr>
              <w:pStyle w:val="TableContents"/>
              <w:widowControl w:val="false"/>
              <w:suppressLineNumbers/>
              <w:spacing w:before="0" w:after="200"/>
              <w:rPr/>
            </w:pPr>
            <w:r>
              <w:rPr/>
              <w:t>F1 Score</w:t>
            </w:r>
          </w:p>
        </w:tc>
        <w:tc>
          <w:tcPr>
            <w:tcW w:w="821" w:type="dxa"/>
            <w:tcBorders/>
            <w:vAlign w:val="center"/>
          </w:tcPr>
          <w:p>
            <w:pPr>
              <w:pStyle w:val="TableContents"/>
              <w:widowControl w:val="false"/>
              <w:suppressLineNumbers/>
              <w:spacing w:before="0" w:after="200"/>
              <w:rPr/>
            </w:pPr>
            <w:r>
              <w:rPr/>
              <w:t>0.943</w:t>
            </w:r>
          </w:p>
        </w:tc>
      </w:tr>
      <w:tr>
        <w:trPr/>
        <w:tc>
          <w:tcPr>
            <w:tcW w:w="1092" w:type="dxa"/>
            <w:tcBorders/>
            <w:vAlign w:val="center"/>
          </w:tcPr>
          <w:p>
            <w:pPr>
              <w:pStyle w:val="TableContents"/>
              <w:widowControl w:val="false"/>
              <w:suppressLineNumbers/>
              <w:spacing w:before="0" w:after="200"/>
              <w:rPr/>
            </w:pPr>
            <w:r>
              <w:rPr/>
              <w:t>ROC AUC</w:t>
            </w:r>
          </w:p>
        </w:tc>
        <w:tc>
          <w:tcPr>
            <w:tcW w:w="821" w:type="dxa"/>
            <w:tcBorders/>
            <w:vAlign w:val="center"/>
          </w:tcPr>
          <w:p>
            <w:pPr>
              <w:pStyle w:val="TableContents"/>
              <w:widowControl w:val="false"/>
              <w:suppressLineNumbers/>
              <w:spacing w:before="0" w:after="200"/>
              <w:rPr/>
            </w:pPr>
            <w:r>
              <w:rPr/>
              <w:t>0.9874</w:t>
            </w:r>
          </w:p>
        </w:tc>
      </w:tr>
    </w:tbl>
    <w:p>
      <w:pPr>
        <w:pStyle w:val="BodyText"/>
        <w:rPr/>
      </w:pPr>
      <w:r>
        <w:rPr/>
        <w:t xml:space="preserve">✅ </w:t>
      </w:r>
      <w:r>
        <w:rPr>
          <w:rStyle w:val="Strong"/>
        </w:rPr>
        <w:t>Interpretation:</w:t>
      </w:r>
      <w:r>
        <w:rPr/>
        <w:br/>
        <w:t>This Random Forest model performs excellently on all metrics, achieving both high recall and high precision. This means the model not only identifies most of the true subscribers but also keeps false positives very low — a key factor in minimizing wasted marketing effort and cost.</w:t>
      </w:r>
    </w:p>
    <w:p>
      <w:pPr>
        <w:pStyle w:val="HorizontalLine"/>
        <w:rPr/>
      </w:pPr>
      <w:r>
        <w:rPr/>
      </w:r>
    </w:p>
    <w:p>
      <w:pPr>
        <w:pStyle w:val="Heading3"/>
        <w:spacing w:before="200" w:after="283"/>
        <w:rPr/>
      </w:pPr>
      <w:r>
        <w:rPr/>
        <w:t xml:space="preserve">📂 </w:t>
      </w:r>
      <w:r>
        <w:rPr/>
        <w:t>Test Set 2 (bank-additional-full.csv)</w:t>
      </w:r>
    </w:p>
    <w:tbl>
      <w:tblPr>
        <w:tblW w:w="1913" w:type="dxa"/>
        <w:jc w:val="left"/>
        <w:tblInd w:w="28" w:type="dxa"/>
        <w:tblLayout w:type="fixed"/>
        <w:tblCellMar>
          <w:top w:w="28" w:type="dxa"/>
          <w:left w:w="28" w:type="dxa"/>
          <w:bottom w:w="28" w:type="dxa"/>
          <w:right w:w="28" w:type="dxa"/>
        </w:tblCellMar>
      </w:tblPr>
      <w:tblGrid>
        <w:gridCol w:w="1092"/>
        <w:gridCol w:w="821"/>
      </w:tblGrid>
      <w:tr>
        <w:trPr>
          <w:tblHeader w:val="true"/>
        </w:trPr>
        <w:tc>
          <w:tcPr>
            <w:tcW w:w="1092" w:type="dxa"/>
            <w:tcBorders/>
            <w:vAlign w:val="center"/>
          </w:tcPr>
          <w:p>
            <w:pPr>
              <w:pStyle w:val="TableHeading"/>
              <w:suppressLineNumbers/>
              <w:spacing w:before="0" w:after="200"/>
              <w:jc w:val="center"/>
              <w:rPr/>
            </w:pPr>
            <w:r>
              <w:rPr>
                <w:rStyle w:val="Strong"/>
                <w:b/>
                <w:bCs/>
              </w:rPr>
              <w:t>Metric</w:t>
            </w:r>
          </w:p>
        </w:tc>
        <w:tc>
          <w:tcPr>
            <w:tcW w:w="821" w:type="dxa"/>
            <w:tcBorders/>
            <w:vAlign w:val="center"/>
          </w:tcPr>
          <w:p>
            <w:pPr>
              <w:pStyle w:val="TableHeading"/>
              <w:suppressLineNumbers/>
              <w:spacing w:before="0" w:after="200"/>
              <w:jc w:val="center"/>
              <w:rPr/>
            </w:pPr>
            <w:r>
              <w:rPr>
                <w:rStyle w:val="Strong"/>
                <w:b/>
                <w:bCs/>
              </w:rPr>
              <w:t>Value</w:t>
            </w:r>
          </w:p>
        </w:tc>
      </w:tr>
      <w:tr>
        <w:trPr/>
        <w:tc>
          <w:tcPr>
            <w:tcW w:w="1092" w:type="dxa"/>
            <w:tcBorders/>
            <w:vAlign w:val="center"/>
          </w:tcPr>
          <w:p>
            <w:pPr>
              <w:pStyle w:val="TableContents"/>
              <w:widowControl w:val="false"/>
              <w:suppressLineNumbers/>
              <w:spacing w:before="0" w:after="200"/>
              <w:rPr/>
            </w:pPr>
            <w:r>
              <w:rPr/>
              <w:t>Accuracy</w:t>
            </w:r>
          </w:p>
        </w:tc>
        <w:tc>
          <w:tcPr>
            <w:tcW w:w="821" w:type="dxa"/>
            <w:tcBorders/>
            <w:vAlign w:val="center"/>
          </w:tcPr>
          <w:p>
            <w:pPr>
              <w:pStyle w:val="TableContents"/>
              <w:widowControl w:val="false"/>
              <w:suppressLineNumbers/>
              <w:spacing w:before="0" w:after="200"/>
              <w:rPr/>
            </w:pPr>
            <w:r>
              <w:rPr/>
              <w:t>0.6329</w:t>
            </w:r>
          </w:p>
        </w:tc>
      </w:tr>
      <w:tr>
        <w:trPr/>
        <w:tc>
          <w:tcPr>
            <w:tcW w:w="1092" w:type="dxa"/>
            <w:tcBorders/>
            <w:vAlign w:val="center"/>
          </w:tcPr>
          <w:p>
            <w:pPr>
              <w:pStyle w:val="TableContents"/>
              <w:widowControl w:val="false"/>
              <w:suppressLineNumbers/>
              <w:spacing w:before="0" w:after="200"/>
              <w:rPr/>
            </w:pPr>
            <w:r>
              <w:rPr/>
              <w:t>Precision</w:t>
            </w:r>
          </w:p>
        </w:tc>
        <w:tc>
          <w:tcPr>
            <w:tcW w:w="821" w:type="dxa"/>
            <w:tcBorders/>
            <w:vAlign w:val="center"/>
          </w:tcPr>
          <w:p>
            <w:pPr>
              <w:pStyle w:val="TableContents"/>
              <w:widowControl w:val="false"/>
              <w:suppressLineNumbers/>
              <w:spacing w:before="0" w:after="200"/>
              <w:rPr/>
            </w:pPr>
            <w:r>
              <w:rPr/>
              <w:t>0.1998</w:t>
            </w:r>
          </w:p>
        </w:tc>
      </w:tr>
      <w:tr>
        <w:trPr/>
        <w:tc>
          <w:tcPr>
            <w:tcW w:w="1092" w:type="dxa"/>
            <w:tcBorders/>
            <w:vAlign w:val="center"/>
          </w:tcPr>
          <w:p>
            <w:pPr>
              <w:pStyle w:val="TableContents"/>
              <w:widowControl w:val="false"/>
              <w:suppressLineNumbers/>
              <w:spacing w:before="0" w:after="200"/>
              <w:rPr/>
            </w:pPr>
            <w:r>
              <w:rPr/>
              <w:t>Recall</w:t>
            </w:r>
          </w:p>
        </w:tc>
        <w:tc>
          <w:tcPr>
            <w:tcW w:w="821" w:type="dxa"/>
            <w:tcBorders/>
            <w:vAlign w:val="center"/>
          </w:tcPr>
          <w:p>
            <w:pPr>
              <w:pStyle w:val="TableContents"/>
              <w:widowControl w:val="false"/>
              <w:suppressLineNumbers/>
              <w:spacing w:before="0" w:after="200"/>
              <w:rPr/>
            </w:pPr>
            <w:r>
              <w:rPr/>
              <w:t>0.7827</w:t>
            </w:r>
          </w:p>
        </w:tc>
      </w:tr>
      <w:tr>
        <w:trPr/>
        <w:tc>
          <w:tcPr>
            <w:tcW w:w="1092" w:type="dxa"/>
            <w:tcBorders/>
            <w:vAlign w:val="center"/>
          </w:tcPr>
          <w:p>
            <w:pPr>
              <w:pStyle w:val="TableContents"/>
              <w:widowControl w:val="false"/>
              <w:suppressLineNumbers/>
              <w:spacing w:before="0" w:after="200"/>
              <w:rPr/>
            </w:pPr>
            <w:r>
              <w:rPr/>
              <w:t>F1 Score</w:t>
            </w:r>
          </w:p>
        </w:tc>
        <w:tc>
          <w:tcPr>
            <w:tcW w:w="821" w:type="dxa"/>
            <w:tcBorders/>
            <w:vAlign w:val="center"/>
          </w:tcPr>
          <w:p>
            <w:pPr>
              <w:pStyle w:val="TableContents"/>
              <w:widowControl w:val="false"/>
              <w:suppressLineNumbers/>
              <w:spacing w:before="0" w:after="200"/>
              <w:rPr/>
            </w:pPr>
            <w:r>
              <w:rPr/>
              <w:t>0.3183</w:t>
            </w:r>
          </w:p>
        </w:tc>
      </w:tr>
      <w:tr>
        <w:trPr/>
        <w:tc>
          <w:tcPr>
            <w:tcW w:w="1092" w:type="dxa"/>
            <w:tcBorders/>
            <w:vAlign w:val="center"/>
          </w:tcPr>
          <w:p>
            <w:pPr>
              <w:pStyle w:val="TableContents"/>
              <w:widowControl w:val="false"/>
              <w:suppressLineNumbers/>
              <w:spacing w:before="0" w:after="200"/>
              <w:rPr/>
            </w:pPr>
            <w:r>
              <w:rPr/>
              <w:t>ROC AUC</w:t>
            </w:r>
          </w:p>
        </w:tc>
        <w:tc>
          <w:tcPr>
            <w:tcW w:w="821" w:type="dxa"/>
            <w:tcBorders/>
            <w:vAlign w:val="center"/>
          </w:tcPr>
          <w:p>
            <w:pPr>
              <w:pStyle w:val="TableContents"/>
              <w:widowControl w:val="false"/>
              <w:suppressLineNumbers/>
              <w:spacing w:before="0" w:after="200"/>
              <w:rPr/>
            </w:pPr>
            <w:r>
              <w:rPr/>
              <w:t>0.7440</w:t>
            </w:r>
          </w:p>
        </w:tc>
      </w:tr>
    </w:tbl>
    <w:p>
      <w:pPr>
        <w:pStyle w:val="BodyText"/>
        <w:rPr/>
      </w:pPr>
      <w:r>
        <w:rPr/>
        <w:t xml:space="preserve">⚠️ </w:t>
      </w:r>
      <w:r>
        <w:rPr>
          <w:rStyle w:val="Strong"/>
        </w:rPr>
        <w:t>Interpretation:</w:t>
      </w:r>
      <w:r>
        <w:rPr/>
        <w:br/>
        <w:t>On this dataset, although recall is high (the model identifies most subscribers), precision is low, which means many non-subscribers are falsely predicted as subscribers. This could lead to inefficiencies in campaign targeting. The ROC AUC of 0.744 still suggests the model has a decent discriminative ability.</w:t>
      </w:r>
    </w:p>
    <w:p>
      <w:pPr>
        <w:pStyle w:val="HorizontalLine"/>
        <w:rPr/>
      </w:pPr>
      <w:r>
        <w:rPr/>
      </w:r>
    </w:p>
    <w:p>
      <w:pPr>
        <w:pStyle w:val="Heading2"/>
        <w:spacing w:before="200" w:after="283"/>
        <w:rPr/>
      </w:pPr>
      <w:r>
        <w:rPr/>
        <w:t xml:space="preserve">📌 </w:t>
      </w:r>
      <w:r>
        <w:rPr/>
        <w:t>Summary of Trade-Offs</w:t>
      </w:r>
    </w:p>
    <w:tbl>
      <w:tblPr>
        <w:tblW w:w="5686" w:type="dxa"/>
        <w:jc w:val="left"/>
        <w:tblInd w:w="28" w:type="dxa"/>
        <w:tblLayout w:type="fixed"/>
        <w:tblCellMar>
          <w:top w:w="28" w:type="dxa"/>
          <w:left w:w="28" w:type="dxa"/>
          <w:bottom w:w="28" w:type="dxa"/>
          <w:right w:w="28" w:type="dxa"/>
        </w:tblCellMar>
      </w:tblPr>
      <w:tblGrid>
        <w:gridCol w:w="1092"/>
        <w:gridCol w:w="4594"/>
      </w:tblGrid>
      <w:tr>
        <w:trPr>
          <w:tblHeader w:val="true"/>
        </w:trPr>
        <w:tc>
          <w:tcPr>
            <w:tcW w:w="1092" w:type="dxa"/>
            <w:tcBorders/>
            <w:vAlign w:val="center"/>
          </w:tcPr>
          <w:p>
            <w:pPr>
              <w:pStyle w:val="TableHeading"/>
              <w:suppressLineNumbers/>
              <w:spacing w:before="0" w:after="200"/>
              <w:jc w:val="center"/>
              <w:rPr/>
            </w:pPr>
            <w:r>
              <w:rPr>
                <w:rStyle w:val="Strong"/>
                <w:b/>
                <w:bCs/>
              </w:rPr>
              <w:t>Metric</w:t>
            </w:r>
          </w:p>
        </w:tc>
        <w:tc>
          <w:tcPr>
            <w:tcW w:w="4594" w:type="dxa"/>
            <w:tcBorders/>
            <w:vAlign w:val="center"/>
          </w:tcPr>
          <w:p>
            <w:pPr>
              <w:pStyle w:val="TableHeading"/>
              <w:suppressLineNumbers/>
              <w:spacing w:before="0" w:after="200"/>
              <w:jc w:val="center"/>
              <w:rPr/>
            </w:pPr>
            <w:r>
              <w:rPr>
                <w:rStyle w:val="Strong"/>
                <w:b/>
                <w:bCs/>
              </w:rPr>
              <w:t>Verdict</w:t>
            </w:r>
          </w:p>
        </w:tc>
      </w:tr>
      <w:tr>
        <w:trPr/>
        <w:tc>
          <w:tcPr>
            <w:tcW w:w="1092" w:type="dxa"/>
            <w:tcBorders/>
            <w:vAlign w:val="center"/>
          </w:tcPr>
          <w:p>
            <w:pPr>
              <w:pStyle w:val="TableContents"/>
              <w:widowControl w:val="false"/>
              <w:suppressLineNumbers/>
              <w:spacing w:before="0" w:after="200"/>
              <w:rPr/>
            </w:pPr>
            <w:r>
              <w:rPr/>
              <w:t>Accuracy</w:t>
            </w:r>
          </w:p>
        </w:tc>
        <w:tc>
          <w:tcPr>
            <w:tcW w:w="4594" w:type="dxa"/>
            <w:tcBorders/>
            <w:vAlign w:val="center"/>
          </w:tcPr>
          <w:p>
            <w:pPr>
              <w:pStyle w:val="TableContents"/>
              <w:widowControl w:val="false"/>
              <w:suppressLineNumbers/>
              <w:spacing w:before="0" w:after="200"/>
              <w:rPr/>
            </w:pPr>
            <w:r>
              <w:rPr/>
              <w:t>Moderate to Excellent (dataset-dependent)</w:t>
            </w:r>
          </w:p>
        </w:tc>
      </w:tr>
      <w:tr>
        <w:trPr/>
        <w:tc>
          <w:tcPr>
            <w:tcW w:w="1092" w:type="dxa"/>
            <w:tcBorders/>
            <w:vAlign w:val="center"/>
          </w:tcPr>
          <w:p>
            <w:pPr>
              <w:pStyle w:val="TableContents"/>
              <w:widowControl w:val="false"/>
              <w:suppressLineNumbers/>
              <w:spacing w:before="0" w:after="200"/>
              <w:rPr/>
            </w:pPr>
            <w:r>
              <w:rPr/>
              <w:t>Precision</w:t>
            </w:r>
          </w:p>
        </w:tc>
        <w:tc>
          <w:tcPr>
            <w:tcW w:w="4594" w:type="dxa"/>
            <w:tcBorders/>
            <w:vAlign w:val="center"/>
          </w:tcPr>
          <w:p>
            <w:pPr>
              <w:pStyle w:val="TableContents"/>
              <w:widowControl w:val="false"/>
              <w:suppressLineNumbers/>
              <w:spacing w:before="0" w:after="200"/>
              <w:rPr/>
            </w:pPr>
            <w:r>
              <w:rPr/>
              <w:t>Very High (Test Set 1) / Low (Set 2)</w:t>
            </w:r>
          </w:p>
        </w:tc>
      </w:tr>
      <w:tr>
        <w:trPr/>
        <w:tc>
          <w:tcPr>
            <w:tcW w:w="1092" w:type="dxa"/>
            <w:tcBorders/>
            <w:vAlign w:val="center"/>
          </w:tcPr>
          <w:p>
            <w:pPr>
              <w:pStyle w:val="TableContents"/>
              <w:widowControl w:val="false"/>
              <w:suppressLineNumbers/>
              <w:spacing w:before="0" w:after="200"/>
              <w:rPr/>
            </w:pPr>
            <w:r>
              <w:rPr/>
              <w:t>Recall</w:t>
            </w:r>
          </w:p>
        </w:tc>
        <w:tc>
          <w:tcPr>
            <w:tcW w:w="4594" w:type="dxa"/>
            <w:tcBorders/>
            <w:vAlign w:val="center"/>
          </w:tcPr>
          <w:p>
            <w:pPr>
              <w:pStyle w:val="TableContents"/>
              <w:widowControl w:val="false"/>
              <w:suppressLineNumbers/>
              <w:spacing w:before="0" w:after="200"/>
              <w:rPr/>
            </w:pPr>
            <w:r>
              <w:rPr/>
              <w:t>Very High on both</w:t>
            </w:r>
          </w:p>
        </w:tc>
      </w:tr>
      <w:tr>
        <w:trPr/>
        <w:tc>
          <w:tcPr>
            <w:tcW w:w="1092" w:type="dxa"/>
            <w:tcBorders/>
            <w:vAlign w:val="center"/>
          </w:tcPr>
          <w:p>
            <w:pPr>
              <w:pStyle w:val="TableContents"/>
              <w:widowControl w:val="false"/>
              <w:suppressLineNumbers/>
              <w:spacing w:before="0" w:after="200"/>
              <w:rPr/>
            </w:pPr>
            <w:r>
              <w:rPr/>
              <w:t>F1 Score</w:t>
            </w:r>
          </w:p>
        </w:tc>
        <w:tc>
          <w:tcPr>
            <w:tcW w:w="4594" w:type="dxa"/>
            <w:tcBorders/>
            <w:vAlign w:val="center"/>
          </w:tcPr>
          <w:p>
            <w:pPr>
              <w:pStyle w:val="TableContents"/>
              <w:widowControl w:val="false"/>
              <w:suppressLineNumbers/>
              <w:spacing w:before="0" w:after="200"/>
              <w:rPr/>
            </w:pPr>
            <w:r>
              <w:rPr/>
              <w:t>Excellent (Set 1) / Moderate (Set 2)</w:t>
            </w:r>
          </w:p>
        </w:tc>
      </w:tr>
      <w:tr>
        <w:trPr/>
        <w:tc>
          <w:tcPr>
            <w:tcW w:w="1092" w:type="dxa"/>
            <w:tcBorders/>
            <w:vAlign w:val="center"/>
          </w:tcPr>
          <w:p>
            <w:pPr>
              <w:pStyle w:val="TableContents"/>
              <w:widowControl w:val="false"/>
              <w:suppressLineNumbers/>
              <w:spacing w:before="0" w:after="200"/>
              <w:rPr/>
            </w:pPr>
            <w:r>
              <w:rPr/>
              <w:t>ROC AUC</w:t>
            </w:r>
          </w:p>
        </w:tc>
        <w:tc>
          <w:tcPr>
            <w:tcW w:w="4594" w:type="dxa"/>
            <w:tcBorders/>
            <w:vAlign w:val="center"/>
          </w:tcPr>
          <w:p>
            <w:pPr>
              <w:pStyle w:val="TableContents"/>
              <w:widowControl w:val="false"/>
              <w:suppressLineNumbers/>
              <w:spacing w:before="0" w:after="200"/>
              <w:rPr/>
            </w:pPr>
            <w:r>
              <w:rPr/>
              <w:t>Outstanding (Set 1) / Good (Set 2)</w:t>
            </w:r>
          </w:p>
        </w:tc>
      </w:tr>
    </w:tbl>
    <w:p>
      <w:pPr>
        <w:pStyle w:val="HorizontalLine"/>
        <w:rPr/>
      </w:pPr>
      <w:r>
        <w:rPr/>
      </w:r>
    </w:p>
    <w:p>
      <w:pPr>
        <w:pStyle w:val="Heading2"/>
        <w:spacing w:before="200" w:after="283"/>
        <w:rPr/>
      </w:pPr>
      <w:r>
        <w:rPr/>
        <w:t xml:space="preserve">🔎 </w:t>
      </w:r>
      <w:r>
        <w:rPr/>
        <w:t xml:space="preserve">5. Findings and Insights </w:t>
      </w:r>
      <w:r>
        <w:rPr/>
        <w:t>from EDA</w:t>
      </w:r>
    </w:p>
    <w:p>
      <w:pPr>
        <w:pStyle w:val="Heading3"/>
        <w:spacing w:before="200" w:after="283"/>
        <w:rPr/>
      </w:pPr>
      <w:r>
        <w:rPr/>
        <w:t xml:space="preserve">🔍 </w:t>
      </w:r>
      <w:r>
        <w:rPr/>
        <w:t>EDA Summary Highlights</w:t>
      </w:r>
    </w:p>
    <w:p>
      <w:pPr>
        <w:pStyle w:val="BodyText"/>
        <w:numPr>
          <w:ilvl w:val="0"/>
          <w:numId w:val="7"/>
        </w:numPr>
        <w:tabs>
          <w:tab w:val="clear" w:pos="720"/>
          <w:tab w:val="left" w:pos="0" w:leader="none"/>
        </w:tabs>
        <w:ind w:hanging="283" w:left="709"/>
        <w:rPr/>
      </w:pPr>
      <w:r>
        <w:rPr>
          <w:rStyle w:val="Strong"/>
        </w:rPr>
        <w:t>Target Variable Imbalance</w:t>
      </w:r>
      <w:r>
        <w:rPr/>
        <w:br/>
        <w:t>The proportion of clients subscribing (</w:t>
      </w:r>
      <w:r>
        <w:rPr>
          <w:rStyle w:val="SourceText"/>
        </w:rPr>
        <w:t>yes</w:t>
      </w:r>
      <w:r>
        <w:rPr/>
        <w:t xml:space="preserve">) is much smaller than </w:t>
      </w:r>
      <w:r>
        <w:rPr>
          <w:rStyle w:val="SourceText"/>
        </w:rPr>
        <w:t>no</w:t>
      </w:r>
      <w:r>
        <w:rPr/>
        <w:t xml:space="preserve">, confirming a class imbalance problem — around </w:t>
      </w:r>
      <w:r>
        <w:rPr>
          <w:rStyle w:val="Strong"/>
        </w:rPr>
        <w:t>88% non-subscribers vs. 12% subscribers</w:t>
      </w:r>
      <w:r>
        <w:rPr/>
        <w:t>.</w:t>
      </w:r>
    </w:p>
    <w:p>
      <w:pPr>
        <w:pStyle w:val="BodyText"/>
        <w:numPr>
          <w:ilvl w:val="0"/>
          <w:numId w:val="7"/>
        </w:numPr>
        <w:tabs>
          <w:tab w:val="clear" w:pos="720"/>
          <w:tab w:val="left" w:pos="0" w:leader="none"/>
        </w:tabs>
        <w:ind w:hanging="283" w:left="709"/>
        <w:rPr/>
      </w:pPr>
      <w:r>
        <w:rPr>
          <w:rStyle w:val="Strong"/>
        </w:rPr>
        <w:t>Most Impactful Features</w:t>
      </w:r>
    </w:p>
    <w:p>
      <w:pPr>
        <w:pStyle w:val="BodyText"/>
        <w:numPr>
          <w:ilvl w:val="1"/>
          <w:numId w:val="7"/>
        </w:numPr>
        <w:tabs>
          <w:tab w:val="clear" w:pos="720"/>
          <w:tab w:val="left" w:pos="0" w:leader="none"/>
        </w:tabs>
        <w:ind w:hanging="283" w:left="1418"/>
        <w:rPr/>
      </w:pPr>
      <w:r>
        <w:rPr>
          <w:rStyle w:val="Strong"/>
        </w:rPr>
        <w:t>Duration</w:t>
      </w:r>
      <w:r>
        <w:rPr/>
        <w:t xml:space="preserve"> of last contact was the most predictive feature — longer calls are more likely to lead to a subscription.</w:t>
      </w:r>
    </w:p>
    <w:p>
      <w:pPr>
        <w:pStyle w:val="BodyText"/>
        <w:numPr>
          <w:ilvl w:val="1"/>
          <w:numId w:val="7"/>
        </w:numPr>
        <w:tabs>
          <w:tab w:val="clear" w:pos="720"/>
          <w:tab w:val="left" w:pos="0" w:leader="none"/>
        </w:tabs>
        <w:ind w:hanging="283" w:left="1418"/>
        <w:rPr/>
      </w:pPr>
      <w:r>
        <w:rPr>
          <w:rStyle w:val="Strong"/>
        </w:rPr>
        <w:t>Poutcome (previous marketing outcome):</w:t>
      </w:r>
      <w:r>
        <w:rPr/>
        <w:t xml:space="preserve"> Success in a prior campaign significantly increases the likelihood of subscription.</w:t>
      </w:r>
    </w:p>
    <w:p>
      <w:pPr>
        <w:pStyle w:val="BodyText"/>
        <w:numPr>
          <w:ilvl w:val="1"/>
          <w:numId w:val="7"/>
        </w:numPr>
        <w:tabs>
          <w:tab w:val="clear" w:pos="720"/>
          <w:tab w:val="left" w:pos="0" w:leader="none"/>
        </w:tabs>
        <w:ind w:hanging="283" w:left="1418"/>
        <w:rPr/>
      </w:pPr>
      <w:r>
        <w:rPr>
          <w:rStyle w:val="Strong"/>
        </w:rPr>
        <w:t>Month &amp; Day:</w:t>
      </w:r>
      <w:r>
        <w:rPr/>
        <w:t xml:space="preserve"> Clients contacted in </w:t>
      </w:r>
      <w:r>
        <w:rPr>
          <w:rStyle w:val="Strong"/>
        </w:rPr>
        <w:t>May</w:t>
      </w:r>
      <w:r>
        <w:rPr/>
        <w:t xml:space="preserve"> had much lower subscription rates. Contacting in </w:t>
      </w:r>
      <w:r>
        <w:rPr>
          <w:rStyle w:val="Strong"/>
        </w:rPr>
        <w:t>March, December</w:t>
      </w:r>
      <w:r>
        <w:rPr/>
        <w:t xml:space="preserve">, and </w:t>
      </w:r>
      <w:r>
        <w:rPr>
          <w:rStyle w:val="Strong"/>
        </w:rPr>
        <w:t>October</w:t>
      </w:r>
      <w:r>
        <w:rPr/>
        <w:t xml:space="preserve"> showed higher success.</w:t>
      </w:r>
    </w:p>
    <w:p>
      <w:pPr>
        <w:pStyle w:val="BodyText"/>
        <w:numPr>
          <w:ilvl w:val="1"/>
          <w:numId w:val="7"/>
        </w:numPr>
        <w:tabs>
          <w:tab w:val="clear" w:pos="720"/>
          <w:tab w:val="left" w:pos="0" w:leader="none"/>
        </w:tabs>
        <w:ind w:hanging="283" w:left="1418"/>
        <w:rPr/>
      </w:pPr>
      <w:r>
        <w:rPr>
          <w:rStyle w:val="Strong"/>
        </w:rPr>
        <w:t>Job type, Education, and Marital status</w:t>
      </w:r>
      <w:r>
        <w:rPr/>
        <w:t xml:space="preserve"> also showed patterns — </w:t>
      </w:r>
      <w:r>
        <w:rPr>
          <w:rStyle w:val="Strong"/>
        </w:rPr>
        <w:t>retired and students</w:t>
      </w:r>
      <w:r>
        <w:rPr/>
        <w:t xml:space="preserve"> had higher subscription rates.</w:t>
      </w:r>
    </w:p>
    <w:p>
      <w:pPr>
        <w:pStyle w:val="BodyText"/>
        <w:numPr>
          <w:ilvl w:val="1"/>
          <w:numId w:val="7"/>
        </w:numPr>
        <w:tabs>
          <w:tab w:val="clear" w:pos="720"/>
          <w:tab w:val="left" w:pos="0" w:leader="none"/>
        </w:tabs>
        <w:ind w:hanging="283" w:left="1418"/>
        <w:rPr/>
      </w:pPr>
      <w:r>
        <w:rPr>
          <w:rStyle w:val="Strong"/>
        </w:rPr>
        <w:t>Contact type:</w:t>
      </w:r>
      <w:r>
        <w:rPr/>
        <w:t xml:space="preserve"> Cellular contacts were far more successful than telephone ones.</w:t>
      </w:r>
    </w:p>
    <w:p>
      <w:pPr>
        <w:pStyle w:val="BodyText"/>
        <w:numPr>
          <w:ilvl w:val="1"/>
          <w:numId w:val="7"/>
        </w:numPr>
        <w:tabs>
          <w:tab w:val="clear" w:pos="720"/>
          <w:tab w:val="left" w:pos="0" w:leader="none"/>
        </w:tabs>
        <w:ind w:hanging="283" w:left="1418"/>
        <w:rPr/>
      </w:pPr>
      <w:r>
        <w:rPr>
          <w:rStyle w:val="Strong"/>
        </w:rPr>
        <w:t>Age groups:</w:t>
      </w:r>
      <w:r>
        <w:rPr/>
        <w:t xml:space="preserve"> Middle-aged clients (30–60) were most represented, but subscription rates varied more with other variables.</w:t>
      </w:r>
    </w:p>
    <w:p>
      <w:pPr>
        <w:pStyle w:val="BodyText"/>
        <w:numPr>
          <w:ilvl w:val="0"/>
          <w:numId w:val="7"/>
        </w:numPr>
        <w:tabs>
          <w:tab w:val="clear" w:pos="720"/>
          <w:tab w:val="left" w:pos="0" w:leader="none"/>
        </w:tabs>
        <w:ind w:hanging="283" w:left="709"/>
        <w:rPr/>
      </w:pPr>
      <w:r>
        <w:rPr>
          <w:rStyle w:val="Strong"/>
        </w:rPr>
        <w:t>Correlation &amp; Multicollinearity</w:t>
      </w:r>
    </w:p>
    <w:p>
      <w:pPr>
        <w:pStyle w:val="BodyText"/>
        <w:numPr>
          <w:ilvl w:val="1"/>
          <w:numId w:val="7"/>
        </w:numPr>
        <w:tabs>
          <w:tab w:val="clear" w:pos="720"/>
          <w:tab w:val="left" w:pos="0" w:leader="none"/>
        </w:tabs>
        <w:ind w:hanging="283" w:left="1418"/>
        <w:rPr/>
      </w:pPr>
      <w:r>
        <w:rPr/>
        <w:t>Most features had weak to moderate correlation with the target, which suggests combining them through models like Random Forest or Gradient Boosting was appropriate.</w:t>
      </w:r>
    </w:p>
    <w:p>
      <w:pPr>
        <w:pStyle w:val="BodyText"/>
        <w:numPr>
          <w:ilvl w:val="1"/>
          <w:numId w:val="7"/>
        </w:numPr>
        <w:tabs>
          <w:tab w:val="clear" w:pos="720"/>
          <w:tab w:val="left" w:pos="0" w:leader="none"/>
        </w:tabs>
        <w:ind w:hanging="283" w:left="1418"/>
        <w:rPr/>
      </w:pPr>
      <w:r>
        <w:rPr/>
        <w:t>No high multicollinearity detected between major predictors.</w:t>
      </w:r>
    </w:p>
    <w:p>
      <w:pPr>
        <w:pStyle w:val="BodyText"/>
        <w:numPr>
          <w:ilvl w:val="0"/>
          <w:numId w:val="7"/>
        </w:numPr>
        <w:tabs>
          <w:tab w:val="clear" w:pos="720"/>
          <w:tab w:val="left" w:pos="0" w:leader="none"/>
        </w:tabs>
        <w:ind w:hanging="283" w:left="709"/>
        <w:rPr/>
      </w:pPr>
      <w:r>
        <w:rPr>
          <w:rStyle w:val="Strong"/>
        </w:rPr>
        <w:t>Missing/Unknown Data</w:t>
      </w:r>
    </w:p>
    <w:p>
      <w:pPr>
        <w:pStyle w:val="BodyText"/>
        <w:numPr>
          <w:ilvl w:val="1"/>
          <w:numId w:val="7"/>
        </w:numPr>
        <w:tabs>
          <w:tab w:val="clear" w:pos="720"/>
          <w:tab w:val="left" w:pos="0" w:leader="none"/>
        </w:tabs>
        <w:ind w:hanging="283" w:left="1418"/>
        <w:rPr/>
      </w:pPr>
      <w:r>
        <w:rPr/>
        <w:t>“</w:t>
      </w:r>
      <w:r>
        <w:rPr/>
        <w:t>unknown” values appeared in features like job and education. These were treated as a separate category during preprocessing rather than removed.</w:t>
      </w:r>
    </w:p>
    <w:p>
      <w:pPr>
        <w:pStyle w:val="HorizontalLine"/>
        <w:rPr/>
      </w:pPr>
      <w:r>
        <w:rPr/>
      </w:r>
    </w:p>
    <w:p>
      <w:pPr>
        <w:pStyle w:val="Heading3"/>
        <w:spacing w:before="200" w:after="283"/>
        <w:rPr/>
      </w:pPr>
      <w:r>
        <w:rPr/>
        <w:t xml:space="preserve">💡 </w:t>
      </w:r>
      <w:r>
        <w:rPr/>
        <w:t>Key Insights &amp; Actionable Recommendations</w:t>
      </w:r>
    </w:p>
    <w:p>
      <w:pPr>
        <w:pStyle w:val="Heading4"/>
        <w:spacing w:before="200" w:after="283"/>
        <w:rPr/>
      </w:pPr>
      <w:r>
        <w:rPr/>
        <w:t xml:space="preserve">🎯 </w:t>
      </w:r>
      <w:r>
        <w:rPr/>
        <w:t>Client Characteristics Likely to Subscribe:</w:t>
      </w:r>
    </w:p>
    <w:p>
      <w:pPr>
        <w:pStyle w:val="BodyText"/>
        <w:numPr>
          <w:ilvl w:val="0"/>
          <w:numId w:val="8"/>
        </w:numPr>
        <w:tabs>
          <w:tab w:val="clear" w:pos="720"/>
          <w:tab w:val="left" w:pos="0" w:leader="none"/>
        </w:tabs>
        <w:ind w:hanging="283" w:left="709"/>
        <w:rPr/>
      </w:pPr>
      <w:r>
        <w:rPr/>
        <w:t>Longer call durations</w:t>
      </w:r>
    </w:p>
    <w:p>
      <w:pPr>
        <w:pStyle w:val="BodyText"/>
        <w:numPr>
          <w:ilvl w:val="0"/>
          <w:numId w:val="8"/>
        </w:numPr>
        <w:tabs>
          <w:tab w:val="clear" w:pos="720"/>
          <w:tab w:val="left" w:pos="0" w:leader="none"/>
        </w:tabs>
        <w:ind w:hanging="283" w:left="709"/>
        <w:rPr/>
      </w:pPr>
      <w:r>
        <w:rPr/>
        <w:t xml:space="preserve">Contacted via </w:t>
      </w:r>
      <w:r>
        <w:rPr>
          <w:rStyle w:val="Strong"/>
        </w:rPr>
        <w:t>cellular</w:t>
      </w:r>
    </w:p>
    <w:p>
      <w:pPr>
        <w:pStyle w:val="BodyText"/>
        <w:numPr>
          <w:ilvl w:val="0"/>
          <w:numId w:val="8"/>
        </w:numPr>
        <w:tabs>
          <w:tab w:val="clear" w:pos="720"/>
          <w:tab w:val="left" w:pos="0" w:leader="none"/>
        </w:tabs>
        <w:ind w:hanging="283" w:left="709"/>
        <w:rPr/>
      </w:pPr>
      <w:r>
        <w:rPr/>
        <w:t xml:space="preserve">Previous campaign was </w:t>
      </w:r>
      <w:r>
        <w:rPr>
          <w:rStyle w:val="Strong"/>
        </w:rPr>
        <w:t>successful</w:t>
      </w:r>
    </w:p>
    <w:p>
      <w:pPr>
        <w:pStyle w:val="BodyText"/>
        <w:numPr>
          <w:ilvl w:val="0"/>
          <w:numId w:val="8"/>
        </w:numPr>
        <w:tabs>
          <w:tab w:val="clear" w:pos="720"/>
          <w:tab w:val="left" w:pos="0" w:leader="none"/>
        </w:tabs>
        <w:ind w:hanging="283" w:left="709"/>
        <w:rPr/>
      </w:pPr>
      <w:r>
        <w:rPr>
          <w:rStyle w:val="Strong"/>
        </w:rPr>
        <w:t>Retired, students, or self-employed</w:t>
      </w:r>
    </w:p>
    <w:p>
      <w:pPr>
        <w:pStyle w:val="BodyText"/>
        <w:numPr>
          <w:ilvl w:val="0"/>
          <w:numId w:val="8"/>
        </w:numPr>
        <w:tabs>
          <w:tab w:val="clear" w:pos="720"/>
          <w:tab w:val="left" w:pos="0" w:leader="none"/>
        </w:tabs>
        <w:ind w:hanging="283" w:left="709"/>
        <w:rPr/>
      </w:pPr>
      <w:r>
        <w:rPr/>
        <w:t xml:space="preserve">Contacted in </w:t>
      </w:r>
      <w:r>
        <w:rPr>
          <w:rStyle w:val="Strong"/>
        </w:rPr>
        <w:t>October, December, March</w:t>
      </w:r>
    </w:p>
    <w:p>
      <w:pPr>
        <w:pStyle w:val="BodyText"/>
        <w:numPr>
          <w:ilvl w:val="0"/>
          <w:numId w:val="8"/>
        </w:numPr>
        <w:tabs>
          <w:tab w:val="clear" w:pos="720"/>
          <w:tab w:val="left" w:pos="0" w:leader="none"/>
        </w:tabs>
        <w:ind w:hanging="283" w:left="709"/>
        <w:rPr/>
      </w:pPr>
      <w:r>
        <w:rPr/>
        <w:t xml:space="preserve">Education level: </w:t>
      </w:r>
      <w:r>
        <w:rPr>
          <w:rStyle w:val="Strong"/>
        </w:rPr>
        <w:t>tertiary</w:t>
      </w:r>
      <w:r>
        <w:rPr/>
        <w:t xml:space="preserve"> or </w:t>
      </w:r>
      <w:r>
        <w:rPr>
          <w:rStyle w:val="Strong"/>
        </w:rPr>
        <w:t>unknown</w:t>
      </w:r>
    </w:p>
    <w:p>
      <w:pPr>
        <w:pStyle w:val="Heading4"/>
        <w:spacing w:before="200" w:after="283"/>
        <w:rPr/>
      </w:pPr>
      <w:r>
        <w:rPr/>
        <w:t xml:space="preserve">📈 </w:t>
      </w:r>
      <w:r>
        <w:rPr/>
        <w:t>Features to Prioritize:</w:t>
      </w:r>
    </w:p>
    <w:p>
      <w:pPr>
        <w:pStyle w:val="BodyText"/>
        <w:numPr>
          <w:ilvl w:val="0"/>
          <w:numId w:val="9"/>
        </w:numPr>
        <w:tabs>
          <w:tab w:val="clear" w:pos="720"/>
          <w:tab w:val="left" w:pos="0" w:leader="none"/>
        </w:tabs>
        <w:ind w:hanging="283" w:left="709"/>
        <w:rPr/>
      </w:pPr>
      <w:r>
        <w:rPr/>
        <w:t xml:space="preserve">Focus on </w:t>
      </w:r>
      <w:r>
        <w:rPr>
          <w:rStyle w:val="Strong"/>
        </w:rPr>
        <w:t>duration</w:t>
      </w:r>
      <w:r>
        <w:rPr/>
        <w:t xml:space="preserve">, </w:t>
      </w:r>
      <w:r>
        <w:rPr>
          <w:rStyle w:val="Strong"/>
        </w:rPr>
        <w:t>poutcome</w:t>
      </w:r>
      <w:r>
        <w:rPr/>
        <w:t xml:space="preserve">, </w:t>
      </w:r>
      <w:r>
        <w:rPr>
          <w:rStyle w:val="Strong"/>
        </w:rPr>
        <w:t>contact</w:t>
      </w:r>
      <w:r>
        <w:rPr/>
        <w:t xml:space="preserve">, </w:t>
      </w:r>
      <w:r>
        <w:rPr>
          <w:rStyle w:val="Strong"/>
        </w:rPr>
        <w:t>month</w:t>
      </w:r>
      <w:r>
        <w:rPr/>
        <w:t xml:space="preserve">, and </w:t>
      </w:r>
      <w:r>
        <w:rPr>
          <w:rStyle w:val="Strong"/>
        </w:rPr>
        <w:t>job</w:t>
      </w:r>
      <w:r>
        <w:rPr/>
        <w:t xml:space="preserve"> for targeting and segmentation strategies.</w:t>
      </w:r>
    </w:p>
    <w:p>
      <w:pPr>
        <w:pStyle w:val="BodyText"/>
        <w:numPr>
          <w:ilvl w:val="0"/>
          <w:numId w:val="9"/>
        </w:numPr>
        <w:tabs>
          <w:tab w:val="clear" w:pos="720"/>
          <w:tab w:val="left" w:pos="0" w:leader="none"/>
        </w:tabs>
        <w:ind w:hanging="283" w:left="709"/>
        <w:rPr/>
      </w:pPr>
      <w:r>
        <w:rPr/>
        <w:t xml:space="preserve">Avoid contacts during </w:t>
      </w:r>
      <w:r>
        <w:rPr>
          <w:rStyle w:val="Strong"/>
        </w:rPr>
        <w:t>May</w:t>
      </w:r>
      <w:r>
        <w:rPr/>
        <w:t>, which had low performance historically.</w:t>
      </w:r>
    </w:p>
    <w:p>
      <w:pPr>
        <w:pStyle w:val="Heading4"/>
        <w:spacing w:before="200" w:after="283"/>
        <w:rPr/>
      </w:pPr>
      <w:r>
        <w:rPr/>
        <w:t xml:space="preserve">📢 </w:t>
      </w:r>
      <w:r>
        <w:rPr/>
        <w:t>Marketing Team Recommendations:</w:t>
      </w:r>
    </w:p>
    <w:p>
      <w:pPr>
        <w:pStyle w:val="BodyText"/>
        <w:numPr>
          <w:ilvl w:val="0"/>
          <w:numId w:val="10"/>
        </w:numPr>
        <w:tabs>
          <w:tab w:val="clear" w:pos="720"/>
          <w:tab w:val="left" w:pos="0" w:leader="none"/>
        </w:tabs>
        <w:ind w:hanging="283" w:left="709"/>
        <w:rPr/>
      </w:pPr>
      <w:r>
        <w:rPr/>
        <w:t>Use the model to pre-select clients for future campaigns based on profile.</w:t>
      </w:r>
    </w:p>
    <w:p>
      <w:pPr>
        <w:pStyle w:val="BodyText"/>
        <w:numPr>
          <w:ilvl w:val="0"/>
          <w:numId w:val="10"/>
        </w:numPr>
        <w:tabs>
          <w:tab w:val="clear" w:pos="720"/>
          <w:tab w:val="left" w:pos="0" w:leader="none"/>
        </w:tabs>
        <w:ind w:hanging="283" w:left="709"/>
        <w:rPr/>
      </w:pPr>
      <w:r>
        <w:rPr/>
        <w:t xml:space="preserve">Prioritize </w:t>
      </w:r>
      <w:r>
        <w:rPr>
          <w:rStyle w:val="Strong"/>
        </w:rPr>
        <w:t>longer, quality calls</w:t>
      </w:r>
      <w:r>
        <w:rPr/>
        <w:t xml:space="preserve"> and follow-ups.</w:t>
      </w:r>
    </w:p>
    <w:p>
      <w:pPr>
        <w:pStyle w:val="BodyText"/>
        <w:numPr>
          <w:ilvl w:val="0"/>
          <w:numId w:val="10"/>
        </w:numPr>
        <w:tabs>
          <w:tab w:val="clear" w:pos="720"/>
          <w:tab w:val="left" w:pos="0" w:leader="none"/>
        </w:tabs>
        <w:ind w:hanging="283" w:left="709"/>
        <w:rPr/>
      </w:pPr>
      <w:r>
        <w:rPr/>
        <w:t xml:space="preserve">Focus on clients with </w:t>
      </w:r>
      <w:r>
        <w:rPr>
          <w:rStyle w:val="Strong"/>
        </w:rPr>
        <w:t>successful past interactions</w:t>
      </w:r>
      <w:r>
        <w:rPr/>
        <w:t>.</w:t>
      </w:r>
    </w:p>
    <w:p>
      <w:pPr>
        <w:pStyle w:val="BodyText"/>
        <w:numPr>
          <w:ilvl w:val="0"/>
          <w:numId w:val="10"/>
        </w:numPr>
        <w:tabs>
          <w:tab w:val="clear" w:pos="720"/>
          <w:tab w:val="left" w:pos="0" w:leader="none"/>
        </w:tabs>
        <w:ind w:hanging="283" w:left="709"/>
        <w:rPr/>
      </w:pPr>
      <w:r>
        <w:rPr/>
        <w:t>Consider timing of campaigns — avoid months that historically perform poorly.</w:t>
      </w:r>
    </w:p>
    <w:p>
      <w:pPr>
        <w:pStyle w:val="BodyText"/>
        <w:numPr>
          <w:ilvl w:val="0"/>
          <w:numId w:val="10"/>
        </w:numPr>
        <w:tabs>
          <w:tab w:val="clear" w:pos="720"/>
          <w:tab w:val="left" w:pos="0" w:leader="none"/>
        </w:tabs>
        <w:ind w:hanging="283" w:left="709"/>
        <w:rPr/>
      </w:pPr>
      <w:r>
        <w:rPr/>
        <w:t xml:space="preserve">Consider offering differentiated products or tailored messaging to </w:t>
      </w:r>
      <w:r>
        <w:rPr>
          <w:rStyle w:val="Strong"/>
        </w:rPr>
        <w:t>retired or student</w:t>
      </w:r>
      <w:r>
        <w:rPr/>
        <w:t xml:space="preserve"> segments.</w:t>
      </w:r>
    </w:p>
    <w:p>
      <w:pPr>
        <w:pStyle w:val="HorizontalLine"/>
        <w:rPr/>
      </w:pPr>
      <w:r>
        <w:rPr/>
      </w:r>
    </w:p>
    <w:p>
      <w:pPr>
        <w:pStyle w:val="Heading2"/>
        <w:spacing w:before="200" w:after="283"/>
        <w:rPr/>
      </w:pPr>
      <w:r>
        <w:rPr/>
        <w:t xml:space="preserve">✅ </w:t>
      </w:r>
      <w:r>
        <w:rPr/>
        <w:t>Conclusion</w:t>
      </w:r>
    </w:p>
    <w:p>
      <w:pPr>
        <w:pStyle w:val="BodyText"/>
        <w:rPr/>
      </w:pPr>
      <w:r>
        <w:rPr/>
        <w:t xml:space="preserve">The Random Forest classifier trained on </w:t>
      </w:r>
      <w:r>
        <w:rPr>
          <w:rStyle w:val="SourceText"/>
        </w:rPr>
        <w:t>bank-full.csv</w:t>
      </w:r>
      <w:r>
        <w:rPr/>
        <w:t xml:space="preserve"> and tested on a 20% holdout set is a robust and high-performing model, with precision and recall both exceeding 92%. The exploratory data analysis also reveals strong, actionable patterns in customer behavior that can inform future marketing strategies.</w:t>
      </w:r>
    </w:p>
    <w:p>
      <w:pPr>
        <w:pStyle w:val="BodyText"/>
        <w:rPr/>
      </w:pPr>
      <w:r>
        <w:rPr/>
        <w:t>With threshold tuning, proper campaign scheduling, and client segmentation based on the highlighted features, this model can be a powerful tool to boost subscription rates and reduce costs.</w:t>
      </w:r>
    </w:p>
    <w:p>
      <w:pPr>
        <w:pStyle w:val="HorizontalLine"/>
        <w:rPr/>
      </w:pPr>
      <w:r>
        <w:rPr/>
      </w:r>
    </w:p>
    <w:p>
      <w:pPr>
        <w:pStyle w:val="Normal"/>
        <w:spacing w:before="0" w:after="200"/>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67"/>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LibreOffice/24.2.7.2$Linux_X86_64 LibreOffice_project/420$Build-2</Application>
  <AppVersion>15.0000</AppVersion>
  <Pages>5</Pages>
  <Words>655</Words>
  <Characters>3719</Characters>
  <CharactersWithSpaces>4272</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2025-06-16T11:40:31Z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