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color w:val="0B2545"/>
          <w:sz w:val="44"/>
        </w:rPr>
        <w:t>Guaranteed Play Backend Model Update</w:t>
      </w:r>
    </w:p>
    <w:p>
      <w:pPr>
        <w:spacing w:after="280"/>
      </w:pPr>
      <w:r>
        <w:rPr>
          <w:rFonts w:ascii="Calibri" w:hAnsi="Calibri" w:eastAsia="Calibri"/>
          <w:b w:val="0"/>
          <w:color w:val="595959"/>
          <w:sz w:val="20"/>
        </w:rPr>
        <w:t>Current-state briefing for the project owner | June 25, 2026</w:t>
      </w:r>
    </w:p>
    <w:tbl>
      <w:tblPr>
        <w:tblStyle w:val="TableGrid"/>
        <w:tblW w:type="dxa" w:w="9360"/>
        <w:tblLook w:firstColumn="1" w:firstRow="1" w:lastColumn="0" w:lastRow="0" w:noHBand="0" w:noVBand="1" w:val="04A0"/>
        <w:tblInd w:w="120" w:type="dxa"/>
      </w:tblPr>
      <w:tblGrid>
        <w:gridCol w:w="9360"/>
      </w:tblGrid>
      <w:tr>
        <w:tc>
          <w:tcPr>
            <w:tcW w:type="dxa" w:w="9360"/>
            <w:shd w:fill="E8EEF5"/>
            <w:tcMar>
              <w:top w:w="120" w:type="dxa"/>
              <w:start w:w="160" w:type="dxa"/>
              <w:bottom w:w="120" w:type="dxa"/>
              <w:end w:w="160" w:type="dxa"/>
            </w:tcMar>
            <w:vAlign w:val="center"/>
          </w:tcPr>
          <w:p>
            <w:r>
              <w:rPr>
                <w:rFonts w:ascii="Calibri" w:hAnsi="Calibri" w:eastAsia="Calibri"/>
                <w:b/>
                <w:color w:val="1F4D78"/>
                <w:sz w:val="22"/>
              </w:rPr>
              <w:t xml:space="preserve">Bottom line: </w:t>
            </w:r>
            <w:r>
              <w:rPr>
                <w:rFonts w:ascii="Calibri" w:hAnsi="Calibri" w:eastAsia="Calibri"/>
                <w:b w:val="0"/>
                <w:color w:val="222222"/>
                <w:sz w:val="22"/>
              </w:rPr>
              <w:t>Guaranteed Play currently functions as an interpretable draft-decision engine, not a frozen predictive model. It is ahead of a normal cheat sheet because it adapts to roster construction, ADP, tiers, availability, and simulated championship impact. Statistically, the next maturity step is validation: backtests, calibration, benchmark comparisons, and frozen train/test definitions.</w:t>
            </w:r>
          </w:p>
        </w:tc>
      </w:tr>
    </w:tbl>
    <w:p/>
    <w:p>
      <w:pPr>
        <w:pStyle w:val="Heading1"/>
      </w:pPr>
      <w:r>
        <w:rPr>
          <w:rFonts w:ascii="Calibri" w:hAnsi="Calibri" w:eastAsia="Calibri"/>
          <w:color w:val="2E74B5"/>
        </w:rPr>
        <w:t>1. Where We Are</w:t>
      </w:r>
    </w:p>
    <w:p>
      <w:pPr>
        <w:pStyle w:val="ListBullet"/>
      </w:pPr>
      <w:r>
        <w:rPr>
          <w:rFonts w:ascii="Calibri" w:hAnsi="Calibri" w:eastAsia="Calibri"/>
          <w:b w:val="0"/>
          <w:color w:val="222222"/>
          <w:sz w:val="22"/>
        </w:rPr>
        <w:t>Backend focus is now the draft model, scoring logic, simulation logic, and research validation path.</w:t>
      </w:r>
    </w:p>
    <w:p>
      <w:pPr>
        <w:pStyle w:val="ListBullet"/>
      </w:pPr>
      <w:r>
        <w:rPr>
          <w:rFonts w:ascii="Calibri" w:hAnsi="Calibri" w:eastAsia="Calibri"/>
          <w:b w:val="0"/>
          <w:color w:val="222222"/>
          <w:sz w:val="22"/>
        </w:rPr>
        <w:t>The current app-facing model is the master recommendation engine in draftkit/draft_analysis.py, with a consensus layer on top.</w:t>
      </w:r>
    </w:p>
    <w:p>
      <w:pPr>
        <w:pStyle w:val="ListBullet"/>
      </w:pPr>
      <w:r>
        <w:rPr>
          <w:rFonts w:ascii="Calibri" w:hAnsi="Calibri" w:eastAsia="Calibri"/>
          <w:b w:val="0"/>
          <w:color w:val="222222"/>
          <w:sz w:val="22"/>
        </w:rPr>
        <w:t>The model is interpretable and modular: each major recommendation can be explained by component scores rather than hidden black-box behavior.</w:t>
      </w:r>
    </w:p>
    <w:p>
      <w:pPr>
        <w:pStyle w:val="ListBullet"/>
      </w:pPr>
      <w:r>
        <w:rPr>
          <w:rFonts w:ascii="Calibri" w:hAnsi="Calibri" w:eastAsia="Calibri"/>
          <w:b w:val="0"/>
          <w:color w:val="222222"/>
          <w:sz w:val="22"/>
        </w:rPr>
        <w:t>WR and RB underpriced research is promising but remains outside the production draft model.</w:t>
      </w:r>
    </w:p>
    <w:p>
      <w:pPr>
        <w:pStyle w:val="ListBullet"/>
      </w:pPr>
      <w:r>
        <w:rPr>
          <w:rFonts w:ascii="Calibri" w:hAnsi="Calibri" w:eastAsia="Calibri"/>
          <w:b w:val="0"/>
          <w:color w:val="222222"/>
          <w:sz w:val="22"/>
        </w:rPr>
        <w:t>The most important backend risk is not lack of signal. It is insufficient frozen validation against historical outcomes and industry baselines.</w:t>
      </w:r>
    </w:p>
    <w:p>
      <w:pPr>
        <w:pStyle w:val="Heading1"/>
      </w:pPr>
      <w:r>
        <w:rPr>
          <w:rFonts w:ascii="Calibri" w:hAnsi="Calibri" w:eastAsia="Calibri"/>
          <w:color w:val="2E74B5"/>
        </w:rPr>
        <w:t>2. How the Current Model Functions</w:t>
      </w:r>
    </w:p>
    <w:p>
      <w:r>
        <w:rPr>
          <w:rFonts w:ascii="Calibri" w:hAnsi="Calibri" w:eastAsia="Calibri"/>
          <w:b w:val="0"/>
          <w:color w:val="222222"/>
          <w:sz w:val="22"/>
        </w:rPr>
        <w:t>The model starts with the available player pool, removes drafted players, detects the user's roster needs, then scores remaining QB/RB/WR/TE players. Its first job is not to predict a player's exact season. Its practical job is to answer: given the current pick, roster, league settings, and market price, who is the best draft decision right now?</w:t>
      </w:r>
    </w:p>
    <w:p>
      <w:r>
        <w:rPr>
          <w:rFonts w:ascii="Calibri" w:hAnsi="Calibri" w:eastAsia="Calibri"/>
          <w:b w:val="0"/>
          <w:color w:val="222222"/>
          <w:sz w:val="22"/>
        </w:rPr>
        <w:t>The core model score is a weighted blend of five normalized inputs:</w:t>
      </w:r>
    </w:p>
    <w:tbl>
      <w:tblPr>
        <w:tblStyle w:val="TableGrid"/>
        <w:tblW w:type="dxa" w:w="9360"/>
        <w:tblLook w:firstColumn="1" w:firstRow="1" w:lastColumn="0" w:lastRow="0" w:noHBand="0" w:noVBand="1" w:val="04A0"/>
        <w:tblInd w:w="120" w:type="dxa"/>
      </w:tblPr>
      <w:tblGrid>
        <w:gridCol w:w="2376"/>
        <w:gridCol w:w="1512"/>
        <w:gridCol w:w="5472"/>
      </w:tblGrid>
      <w:tr>
        <w:tc>
          <w:tcPr>
            <w:tcW w:type="dxa" w:w="2376"/>
            <w:shd w:fill="F2F4F7"/>
            <w:tcMar>
              <w:top w:w="80" w:type="dxa"/>
              <w:start w:w="120" w:type="dxa"/>
              <w:bottom w:w="80" w:type="dxa"/>
              <w:end w:w="120" w:type="dxa"/>
            </w:tcMar>
          </w:tcPr>
          <w:p>
            <w:pPr>
              <w:jc w:val="center"/>
            </w:pPr>
            <w:r>
              <w:rPr>
                <w:rFonts w:ascii="Calibri" w:hAnsi="Calibri" w:eastAsia="Calibri"/>
                <w:b/>
                <w:color w:val="1F4D78"/>
                <w:sz w:val="22"/>
              </w:rPr>
              <w:t>Component</w:t>
            </w:r>
          </w:p>
        </w:tc>
        <w:tc>
          <w:tcPr>
            <w:tcW w:type="dxa" w:w="1512"/>
            <w:shd w:fill="F2F4F7"/>
            <w:tcMar>
              <w:top w:w="80" w:type="dxa"/>
              <w:start w:w="120" w:type="dxa"/>
              <w:bottom w:w="80" w:type="dxa"/>
              <w:end w:w="120" w:type="dxa"/>
            </w:tcMar>
          </w:tcPr>
          <w:p>
            <w:pPr>
              <w:jc w:val="center"/>
            </w:pPr>
            <w:r>
              <w:rPr>
                <w:rFonts w:ascii="Calibri" w:hAnsi="Calibri" w:eastAsia="Calibri"/>
                <w:b/>
                <w:color w:val="1F4D78"/>
                <w:sz w:val="22"/>
              </w:rPr>
              <w:t>Current Weight</w:t>
            </w:r>
          </w:p>
        </w:tc>
        <w:tc>
          <w:tcPr>
            <w:tcW w:type="dxa" w:w="5472"/>
            <w:shd w:fill="F2F4F7"/>
            <w:tcMar>
              <w:top w:w="80" w:type="dxa"/>
              <w:start w:w="120" w:type="dxa"/>
              <w:bottom w:w="80" w:type="dxa"/>
              <w:end w:w="120" w:type="dxa"/>
            </w:tcMar>
          </w:tcPr>
          <w:p>
            <w:pPr>
              <w:jc w:val="center"/>
            </w:pPr>
            <w:r>
              <w:rPr>
                <w:rFonts w:ascii="Calibri" w:hAnsi="Calibri" w:eastAsia="Calibri"/>
                <w:b/>
                <w:color w:val="1F4D78"/>
                <w:sz w:val="22"/>
              </w:rPr>
              <w:t>Plain-English Meaning</w:t>
            </w:r>
          </w:p>
        </w:tc>
      </w:tr>
      <w:tr>
        <w:tc>
          <w:tcPr>
            <w:tcW w:type="dxa" w:w="2376"/>
            <w:tcMar>
              <w:top w:w="80" w:type="dxa"/>
              <w:start w:w="120" w:type="dxa"/>
              <w:bottom w:w="80" w:type="dxa"/>
              <w:end w:w="120" w:type="dxa"/>
            </w:tcMar>
            <w:vAlign w:val="center"/>
          </w:tcPr>
          <w:p>
            <w:pPr>
              <w:jc w:val="left"/>
            </w:pPr>
            <w:r>
              <w:rPr>
                <w:rFonts w:ascii="Calibri" w:hAnsi="Calibri" w:eastAsia="Calibri"/>
                <w:b w:val="0"/>
                <w:color w:val="222222"/>
                <w:sz w:val="20"/>
              </w:rPr>
              <w:t>Projection value</w:t>
            </w:r>
          </w:p>
        </w:tc>
        <w:tc>
          <w:tcPr>
            <w:tcW w:type="dxa" w:w="1512"/>
            <w:tcMar>
              <w:top w:w="80" w:type="dxa"/>
              <w:start w:w="120" w:type="dxa"/>
              <w:bottom w:w="80" w:type="dxa"/>
              <w:end w:w="120" w:type="dxa"/>
            </w:tcMar>
            <w:vAlign w:val="center"/>
          </w:tcPr>
          <w:p>
            <w:pPr>
              <w:jc w:val="left"/>
            </w:pPr>
            <w:r>
              <w:rPr>
                <w:rFonts w:ascii="Calibri" w:hAnsi="Calibri" w:eastAsia="Calibri"/>
                <w:b w:val="0"/>
                <w:color w:val="222222"/>
                <w:sz w:val="20"/>
              </w:rPr>
              <w:t>30%</w:t>
            </w:r>
          </w:p>
        </w:tc>
        <w:tc>
          <w:tcPr>
            <w:tcW w:type="dxa" w:w="5472"/>
            <w:tcMar>
              <w:top w:w="80" w:type="dxa"/>
              <w:start w:w="120" w:type="dxa"/>
              <w:bottom w:w="80" w:type="dxa"/>
              <w:end w:w="120" w:type="dxa"/>
            </w:tcMar>
            <w:vAlign w:val="center"/>
          </w:tcPr>
          <w:p>
            <w:pPr>
              <w:jc w:val="left"/>
            </w:pPr>
            <w:r>
              <w:rPr>
                <w:rFonts w:ascii="Calibri" w:hAnsi="Calibri" w:eastAsia="Calibri"/>
                <w:b w:val="0"/>
                <w:color w:val="222222"/>
                <w:sz w:val="20"/>
              </w:rPr>
              <w:t>How much projected value the player offers after adjusting for position and replacement level.</w:t>
            </w:r>
          </w:p>
        </w:tc>
      </w:tr>
      <w:tr>
        <w:tc>
          <w:tcPr>
            <w:tcW w:type="dxa" w:w="2376"/>
            <w:tcMar>
              <w:top w:w="80" w:type="dxa"/>
              <w:start w:w="120" w:type="dxa"/>
              <w:bottom w:w="80" w:type="dxa"/>
              <w:end w:w="120" w:type="dxa"/>
            </w:tcMar>
            <w:vAlign w:val="center"/>
          </w:tcPr>
          <w:p>
            <w:pPr>
              <w:jc w:val="left"/>
            </w:pPr>
            <w:r>
              <w:rPr>
                <w:rFonts w:ascii="Calibri" w:hAnsi="Calibri" w:eastAsia="Calibri"/>
                <w:b w:val="0"/>
                <w:color w:val="222222"/>
                <w:sz w:val="20"/>
              </w:rPr>
              <w:t>Position need</w:t>
            </w:r>
          </w:p>
        </w:tc>
        <w:tc>
          <w:tcPr>
            <w:tcW w:type="dxa" w:w="1512"/>
            <w:tcMar>
              <w:top w:w="80" w:type="dxa"/>
              <w:start w:w="120" w:type="dxa"/>
              <w:bottom w:w="80" w:type="dxa"/>
              <w:end w:w="120" w:type="dxa"/>
            </w:tcMar>
            <w:vAlign w:val="center"/>
          </w:tcPr>
          <w:p>
            <w:pPr>
              <w:jc w:val="left"/>
            </w:pPr>
            <w:r>
              <w:rPr>
                <w:rFonts w:ascii="Calibri" w:hAnsi="Calibri" w:eastAsia="Calibri"/>
                <w:b w:val="0"/>
                <w:color w:val="222222"/>
                <w:sz w:val="20"/>
              </w:rPr>
              <w:t>25%</w:t>
            </w:r>
          </w:p>
        </w:tc>
        <w:tc>
          <w:tcPr>
            <w:tcW w:type="dxa" w:w="5472"/>
            <w:tcMar>
              <w:top w:w="80" w:type="dxa"/>
              <w:start w:w="120" w:type="dxa"/>
              <w:bottom w:w="80" w:type="dxa"/>
              <w:end w:w="120" w:type="dxa"/>
            </w:tcMar>
            <w:vAlign w:val="center"/>
          </w:tcPr>
          <w:p>
            <w:pPr>
              <w:jc w:val="left"/>
            </w:pPr>
            <w:r>
              <w:rPr>
                <w:rFonts w:ascii="Calibri" w:hAnsi="Calibri" w:eastAsia="Calibri"/>
                <w:b w:val="0"/>
                <w:color w:val="222222"/>
                <w:sz w:val="20"/>
              </w:rPr>
              <w:t>How badly the current roster needs the player's position.</w:t>
            </w:r>
          </w:p>
        </w:tc>
      </w:tr>
      <w:tr>
        <w:tc>
          <w:tcPr>
            <w:tcW w:type="dxa" w:w="2376"/>
            <w:tcMar>
              <w:top w:w="80" w:type="dxa"/>
              <w:start w:w="120" w:type="dxa"/>
              <w:bottom w:w="80" w:type="dxa"/>
              <w:end w:w="120" w:type="dxa"/>
            </w:tcMar>
            <w:vAlign w:val="center"/>
          </w:tcPr>
          <w:p>
            <w:pPr>
              <w:jc w:val="left"/>
            </w:pPr>
            <w:r>
              <w:rPr>
                <w:rFonts w:ascii="Calibri" w:hAnsi="Calibri" w:eastAsia="Calibri"/>
                <w:b w:val="0"/>
                <w:color w:val="222222"/>
                <w:sz w:val="20"/>
              </w:rPr>
              <w:t>ADP value</w:t>
            </w:r>
          </w:p>
        </w:tc>
        <w:tc>
          <w:tcPr>
            <w:tcW w:type="dxa" w:w="1512"/>
            <w:tcMar>
              <w:top w:w="80" w:type="dxa"/>
              <w:start w:w="120" w:type="dxa"/>
              <w:bottom w:w="80" w:type="dxa"/>
              <w:end w:w="120" w:type="dxa"/>
            </w:tcMar>
            <w:vAlign w:val="center"/>
          </w:tcPr>
          <w:p>
            <w:pPr>
              <w:jc w:val="left"/>
            </w:pPr>
            <w:r>
              <w:rPr>
                <w:rFonts w:ascii="Calibri" w:hAnsi="Calibri" w:eastAsia="Calibri"/>
                <w:b w:val="0"/>
                <w:color w:val="222222"/>
                <w:sz w:val="20"/>
              </w:rPr>
              <w:t>15%</w:t>
            </w:r>
          </w:p>
        </w:tc>
        <w:tc>
          <w:tcPr>
            <w:tcW w:type="dxa" w:w="5472"/>
            <w:tcMar>
              <w:top w:w="80" w:type="dxa"/>
              <w:start w:w="120" w:type="dxa"/>
              <w:bottom w:w="80" w:type="dxa"/>
              <w:end w:w="120" w:type="dxa"/>
            </w:tcMar>
            <w:vAlign w:val="center"/>
          </w:tcPr>
          <w:p>
            <w:pPr>
              <w:jc w:val="left"/>
            </w:pPr>
            <w:r>
              <w:rPr>
                <w:rFonts w:ascii="Calibri" w:hAnsi="Calibri" w:eastAsia="Calibri"/>
                <w:b w:val="0"/>
                <w:color w:val="222222"/>
                <w:sz w:val="20"/>
              </w:rPr>
              <w:t>Whether the player is cheaper than his projected/ranked value suggests.</w:t>
            </w:r>
          </w:p>
        </w:tc>
      </w:tr>
      <w:tr>
        <w:tc>
          <w:tcPr>
            <w:tcW w:type="dxa" w:w="2376"/>
            <w:tcMar>
              <w:top w:w="80" w:type="dxa"/>
              <w:start w:w="120" w:type="dxa"/>
              <w:bottom w:w="80" w:type="dxa"/>
              <w:end w:w="120" w:type="dxa"/>
            </w:tcMar>
            <w:vAlign w:val="center"/>
          </w:tcPr>
          <w:p>
            <w:pPr>
              <w:jc w:val="left"/>
            </w:pPr>
            <w:r>
              <w:rPr>
                <w:rFonts w:ascii="Calibri" w:hAnsi="Calibri" w:eastAsia="Calibri"/>
                <w:b w:val="0"/>
                <w:color w:val="222222"/>
                <w:sz w:val="20"/>
              </w:rPr>
              <w:t>Tier urgency</w:t>
            </w:r>
          </w:p>
        </w:tc>
        <w:tc>
          <w:tcPr>
            <w:tcW w:type="dxa" w:w="1512"/>
            <w:tcMar>
              <w:top w:w="80" w:type="dxa"/>
              <w:start w:w="120" w:type="dxa"/>
              <w:bottom w:w="80" w:type="dxa"/>
              <w:end w:w="120" w:type="dxa"/>
            </w:tcMar>
            <w:vAlign w:val="center"/>
          </w:tcPr>
          <w:p>
            <w:pPr>
              <w:jc w:val="left"/>
            </w:pPr>
            <w:r>
              <w:rPr>
                <w:rFonts w:ascii="Calibri" w:hAnsi="Calibri" w:eastAsia="Calibri"/>
                <w:b w:val="0"/>
                <w:color w:val="222222"/>
                <w:sz w:val="20"/>
              </w:rPr>
              <w:t>15%</w:t>
            </w:r>
          </w:p>
        </w:tc>
        <w:tc>
          <w:tcPr>
            <w:tcW w:type="dxa" w:w="5472"/>
            <w:tcMar>
              <w:top w:w="80" w:type="dxa"/>
              <w:start w:w="120" w:type="dxa"/>
              <w:bottom w:w="80" w:type="dxa"/>
              <w:end w:w="120" w:type="dxa"/>
            </w:tcMar>
            <w:vAlign w:val="center"/>
          </w:tcPr>
          <w:p>
            <w:pPr>
              <w:jc w:val="left"/>
            </w:pPr>
            <w:r>
              <w:rPr>
                <w:rFonts w:ascii="Calibri" w:hAnsi="Calibri" w:eastAsia="Calibri"/>
                <w:b w:val="0"/>
                <w:color w:val="222222"/>
                <w:sz w:val="20"/>
              </w:rPr>
              <w:t>Whether waiting risks falling into a worse tier at the position.</w:t>
            </w:r>
          </w:p>
        </w:tc>
      </w:tr>
      <w:tr>
        <w:tc>
          <w:tcPr>
            <w:tcW w:type="dxa" w:w="2376"/>
            <w:tcMar>
              <w:top w:w="80" w:type="dxa"/>
              <w:start w:w="120" w:type="dxa"/>
              <w:bottom w:w="80" w:type="dxa"/>
              <w:end w:w="120" w:type="dxa"/>
            </w:tcMar>
            <w:vAlign w:val="center"/>
          </w:tcPr>
          <w:p>
            <w:pPr>
              <w:jc w:val="left"/>
            </w:pPr>
            <w:r>
              <w:rPr>
                <w:rFonts w:ascii="Calibri" w:hAnsi="Calibri" w:eastAsia="Calibri"/>
                <w:b w:val="0"/>
                <w:color w:val="222222"/>
                <w:sz w:val="20"/>
              </w:rPr>
              <w:t>Team fit</w:t>
            </w:r>
          </w:p>
        </w:tc>
        <w:tc>
          <w:tcPr>
            <w:tcW w:type="dxa" w:w="1512"/>
            <w:tcMar>
              <w:top w:w="80" w:type="dxa"/>
              <w:start w:w="120" w:type="dxa"/>
              <w:bottom w:w="80" w:type="dxa"/>
              <w:end w:w="120" w:type="dxa"/>
            </w:tcMar>
            <w:vAlign w:val="center"/>
          </w:tcPr>
          <w:p>
            <w:pPr>
              <w:jc w:val="left"/>
            </w:pPr>
            <w:r>
              <w:rPr>
                <w:rFonts w:ascii="Calibri" w:hAnsi="Calibri" w:eastAsia="Calibri"/>
                <w:b w:val="0"/>
                <w:color w:val="222222"/>
                <w:sz w:val="20"/>
              </w:rPr>
              <w:t>15%</w:t>
            </w:r>
          </w:p>
        </w:tc>
        <w:tc>
          <w:tcPr>
            <w:tcW w:type="dxa" w:w="5472"/>
            <w:tcMar>
              <w:top w:w="80" w:type="dxa"/>
              <w:start w:w="120" w:type="dxa"/>
              <w:bottom w:w="80" w:type="dxa"/>
              <w:end w:w="120" w:type="dxa"/>
            </w:tcMar>
            <w:vAlign w:val="center"/>
          </w:tcPr>
          <w:p>
            <w:pPr>
              <w:jc w:val="left"/>
            </w:pPr>
            <w:r>
              <w:rPr>
                <w:rFonts w:ascii="Calibri" w:hAnsi="Calibri" w:eastAsia="Calibri"/>
                <w:b w:val="0"/>
                <w:color w:val="222222"/>
                <w:sz w:val="20"/>
              </w:rPr>
              <w:t>Whether the player's risk/upside profile balances the roster already drafted.</w:t>
            </w:r>
          </w:p>
        </w:tc>
      </w:tr>
    </w:tbl>
    <w:p/>
    <w:p>
      <w:r>
        <w:rPr>
          <w:rFonts w:ascii="Calibri" w:hAnsi="Calibri" w:eastAsia="Calibri"/>
          <w:b w:val="0"/>
          <w:color w:val="222222"/>
          <w:sz w:val="22"/>
        </w:rPr>
        <w:t>After that base blend, the backend applies guardrails. Construction pressure boosts positions that are becoming urgent. Signal trust can cap or reduce a score when ADP, projection, or market inputs look inconsistent. Single-QB leagues cap QB values so raw QB points do not overwhelm RB/WR economics.</w:t>
      </w:r>
    </w:p>
    <w:p>
      <w:r>
        <w:rPr>
          <w:rFonts w:ascii="Calibri" w:hAnsi="Calibri" w:eastAsia="Calibri"/>
          <w:b w:val="0"/>
          <w:color w:val="222222"/>
          <w:sz w:val="22"/>
        </w:rPr>
        <w:t>Draft Mode then builds a consensus score. This blends the base model score with value, roster fit, future-pick impact, championship equity, safety/risk, and survival probability. This consensus layer is the current top-level decision layer.</w:t>
      </w:r>
    </w:p>
    <w:p>
      <w:pPr>
        <w:pStyle w:val="Heading1"/>
      </w:pPr>
      <w:r>
        <w:rPr>
          <w:rFonts w:ascii="Calibri" w:hAnsi="Calibri" w:eastAsia="Calibri"/>
          <w:color w:val="2E74B5"/>
        </w:rPr>
        <w:t>3. Simulation Layers</w:t>
      </w:r>
    </w:p>
    <w:p>
      <w:pPr>
        <w:pStyle w:val="ListBullet"/>
      </w:pPr>
      <w:r>
        <w:rPr>
          <w:rFonts w:ascii="Calibri" w:hAnsi="Calibri" w:eastAsia="Calibri"/>
          <w:b w:val="0"/>
          <w:color w:val="222222"/>
          <w:sz w:val="22"/>
        </w:rPr>
        <w:t>Availability simulation estimates whether a player will survive until the user's next pick using ADP-weighted Monte Carlo paths.</w:t>
      </w:r>
    </w:p>
    <w:p>
      <w:pPr>
        <w:pStyle w:val="ListBullet"/>
      </w:pPr>
      <w:r>
        <w:rPr>
          <w:rFonts w:ascii="Calibri" w:hAnsi="Calibri" w:eastAsia="Calibri"/>
          <w:b w:val="0"/>
          <w:color w:val="222222"/>
          <w:sz w:val="22"/>
        </w:rPr>
        <w:t>Future-impact simulation asks what the board may look like after taking a candidate now and which top targets are likely to be lost or survive.</w:t>
      </w:r>
    </w:p>
    <w:p>
      <w:pPr>
        <w:pStyle w:val="ListBullet"/>
      </w:pPr>
      <w:r>
        <w:rPr>
          <w:rFonts w:ascii="Calibri" w:hAnsi="Calibri" w:eastAsia="Calibri"/>
          <w:b w:val="0"/>
          <w:color w:val="222222"/>
          <w:sz w:val="22"/>
        </w:rPr>
        <w:t>Championship equity V2 estimates directional roster impact using floor, median, ceiling, injury risk, role uncertainty, age risk, roster shape, and league-winning upside.</w:t>
      </w:r>
    </w:p>
    <w:p>
      <w:pPr>
        <w:pStyle w:val="ListBullet"/>
      </w:pPr>
      <w:r>
        <w:rPr>
          <w:rFonts w:ascii="Calibri" w:hAnsi="Calibri" w:eastAsia="Calibri"/>
          <w:b w:val="0"/>
          <w:color w:val="222222"/>
          <w:sz w:val="22"/>
        </w:rPr>
        <w:t>These simulations make the model more draft-aware than a static ranking list, but their outputs should be treated as directional, not literal probabilities.</w:t>
      </w:r>
    </w:p>
    <w:p>
      <w:pPr>
        <w:pStyle w:val="Heading1"/>
      </w:pPr>
      <w:r>
        <w:rPr>
          <w:rFonts w:ascii="Calibri" w:hAnsi="Calibri" w:eastAsia="Calibri"/>
          <w:color w:val="2E74B5"/>
        </w:rPr>
        <w:t>4. Comparison to Fantasy Football Industry Standards</w:t>
      </w:r>
    </w:p>
    <w:p>
      <w:r>
        <w:rPr>
          <w:rFonts w:ascii="Calibri" w:hAnsi="Calibri" w:eastAsia="Calibri"/>
          <w:b w:val="0"/>
          <w:color w:val="222222"/>
          <w:sz w:val="22"/>
        </w:rPr>
        <w:t>The fantasy football industry usually starts from projected points, expert consensus rankings, ADP, tiers, injury risk, positional scarcity, and draft strategy rules. More advanced products layer in value-based drafting, player archetypes, risk, opportunity, and mock-draft behavior.</w:t>
      </w:r>
    </w:p>
    <w:tbl>
      <w:tblPr>
        <w:tblStyle w:val="TableGrid"/>
        <w:tblW w:type="dxa" w:w="9360"/>
        <w:tblLook w:firstColumn="1" w:firstRow="1" w:lastColumn="0" w:lastRow="0" w:noHBand="0" w:noVBand="1" w:val="04A0"/>
        <w:tblInd w:w="120" w:type="dxa"/>
      </w:tblPr>
      <w:tblGrid>
        <w:gridCol w:w="2592"/>
        <w:gridCol w:w="3816"/>
        <w:gridCol w:w="2951"/>
      </w:tblGrid>
      <w:tr>
        <w:tc>
          <w:tcPr>
            <w:tcW w:type="dxa" w:w="2592"/>
            <w:shd w:fill="F2F4F7"/>
            <w:tcMar>
              <w:top w:w="80" w:type="dxa"/>
              <w:start w:w="120" w:type="dxa"/>
              <w:bottom w:w="80" w:type="dxa"/>
              <w:end w:w="120" w:type="dxa"/>
            </w:tcMar>
          </w:tcPr>
          <w:p>
            <w:pPr>
              <w:jc w:val="center"/>
            </w:pPr>
            <w:r>
              <w:rPr>
                <w:rFonts w:ascii="Calibri" w:hAnsi="Calibri" w:eastAsia="Calibri"/>
                <w:b/>
                <w:color w:val="1F4D78"/>
                <w:sz w:val="22"/>
              </w:rPr>
              <w:t>Industry Practice</w:t>
            </w:r>
          </w:p>
        </w:tc>
        <w:tc>
          <w:tcPr>
            <w:tcW w:type="dxa" w:w="3816"/>
            <w:shd w:fill="F2F4F7"/>
            <w:tcMar>
              <w:top w:w="80" w:type="dxa"/>
              <w:start w:w="120" w:type="dxa"/>
              <w:bottom w:w="80" w:type="dxa"/>
              <w:end w:w="120" w:type="dxa"/>
            </w:tcMar>
          </w:tcPr>
          <w:p>
            <w:pPr>
              <w:jc w:val="center"/>
            </w:pPr>
            <w:r>
              <w:rPr>
                <w:rFonts w:ascii="Calibri" w:hAnsi="Calibri" w:eastAsia="Calibri"/>
                <w:b/>
                <w:color w:val="1F4D78"/>
                <w:sz w:val="22"/>
              </w:rPr>
              <w:t>Guaranteed Play Today</w:t>
            </w:r>
          </w:p>
        </w:tc>
        <w:tc>
          <w:tcPr>
            <w:tcW w:type="dxa" w:w="2951"/>
            <w:shd w:fill="F2F4F7"/>
            <w:tcMar>
              <w:top w:w="80" w:type="dxa"/>
              <w:start w:w="120" w:type="dxa"/>
              <w:bottom w:w="80" w:type="dxa"/>
              <w:end w:w="120" w:type="dxa"/>
            </w:tcMar>
          </w:tcPr>
          <w:p>
            <w:pPr>
              <w:jc w:val="center"/>
            </w:pPr>
            <w:r>
              <w:rPr>
                <w:rFonts w:ascii="Calibri" w:hAnsi="Calibri" w:eastAsia="Calibri"/>
                <w:b/>
                <w:color w:val="1F4D78"/>
                <w:sz w:val="22"/>
              </w:rPr>
              <w:t>Assessment</w:t>
            </w:r>
          </w:p>
        </w:tc>
      </w:tr>
      <w:tr>
        <w:tc>
          <w:tcPr>
            <w:tcW w:type="dxa" w:w="2592"/>
            <w:tcMar>
              <w:top w:w="80" w:type="dxa"/>
              <w:start w:w="120" w:type="dxa"/>
              <w:bottom w:w="80" w:type="dxa"/>
              <w:end w:w="120" w:type="dxa"/>
            </w:tcMar>
            <w:vAlign w:val="center"/>
          </w:tcPr>
          <w:p>
            <w:pPr>
              <w:jc w:val="left"/>
            </w:pPr>
            <w:r>
              <w:rPr>
                <w:rFonts w:ascii="Calibri" w:hAnsi="Calibri" w:eastAsia="Calibri"/>
                <w:b w:val="0"/>
                <w:color w:val="222222"/>
                <w:sz w:val="20"/>
              </w:rPr>
              <w:t>Projected points / rankings</w:t>
            </w:r>
          </w:p>
        </w:tc>
        <w:tc>
          <w:tcPr>
            <w:tcW w:type="dxa" w:w="3816"/>
            <w:tcMar>
              <w:top w:w="80" w:type="dxa"/>
              <w:start w:w="120" w:type="dxa"/>
              <w:bottom w:w="80" w:type="dxa"/>
              <w:end w:w="120" w:type="dxa"/>
            </w:tcMar>
            <w:vAlign w:val="center"/>
          </w:tcPr>
          <w:p>
            <w:pPr>
              <w:jc w:val="left"/>
            </w:pPr>
            <w:r>
              <w:rPr>
                <w:rFonts w:ascii="Calibri" w:hAnsi="Calibri" w:eastAsia="Calibri"/>
                <w:b w:val="0"/>
                <w:color w:val="222222"/>
                <w:sz w:val="20"/>
              </w:rPr>
              <w:t>Uses projections and projection rank as a core input.</w:t>
            </w:r>
          </w:p>
        </w:tc>
        <w:tc>
          <w:tcPr>
            <w:tcW w:type="dxa" w:w="2951"/>
            <w:tcMar>
              <w:top w:w="80" w:type="dxa"/>
              <w:start w:w="120" w:type="dxa"/>
              <w:bottom w:w="80" w:type="dxa"/>
              <w:end w:w="120" w:type="dxa"/>
            </w:tcMar>
            <w:vAlign w:val="center"/>
          </w:tcPr>
          <w:p>
            <w:pPr>
              <w:jc w:val="left"/>
            </w:pPr>
            <w:r>
              <w:rPr>
                <w:rFonts w:ascii="Calibri" w:hAnsi="Calibri" w:eastAsia="Calibri"/>
                <w:b w:val="0"/>
                <w:color w:val="222222"/>
                <w:sz w:val="20"/>
              </w:rPr>
              <w:t>Meets standard.</w:t>
            </w:r>
          </w:p>
        </w:tc>
      </w:tr>
      <w:tr>
        <w:tc>
          <w:tcPr>
            <w:tcW w:type="dxa" w:w="2592"/>
            <w:tcMar>
              <w:top w:w="80" w:type="dxa"/>
              <w:start w:w="120" w:type="dxa"/>
              <w:bottom w:w="80" w:type="dxa"/>
              <w:end w:w="120" w:type="dxa"/>
            </w:tcMar>
            <w:vAlign w:val="center"/>
          </w:tcPr>
          <w:p>
            <w:pPr>
              <w:jc w:val="left"/>
            </w:pPr>
            <w:r>
              <w:rPr>
                <w:rFonts w:ascii="Calibri" w:hAnsi="Calibri" w:eastAsia="Calibri"/>
                <w:b w:val="0"/>
                <w:color w:val="222222"/>
                <w:sz w:val="20"/>
              </w:rPr>
              <w:t>Value-based drafting</w:t>
            </w:r>
          </w:p>
        </w:tc>
        <w:tc>
          <w:tcPr>
            <w:tcW w:type="dxa" w:w="3816"/>
            <w:tcMar>
              <w:top w:w="80" w:type="dxa"/>
              <w:start w:w="120" w:type="dxa"/>
              <w:bottom w:w="80" w:type="dxa"/>
              <w:end w:w="120" w:type="dxa"/>
            </w:tcMar>
            <w:vAlign w:val="center"/>
          </w:tcPr>
          <w:p>
            <w:pPr>
              <w:jc w:val="left"/>
            </w:pPr>
            <w:r>
              <w:rPr>
                <w:rFonts w:ascii="Calibri" w:hAnsi="Calibri" w:eastAsia="Calibri"/>
                <w:b w:val="0"/>
                <w:color w:val="222222"/>
                <w:sz w:val="20"/>
              </w:rPr>
              <w:t>Uses position-adjusted value over replacement and ADP discounts.</w:t>
            </w:r>
          </w:p>
        </w:tc>
        <w:tc>
          <w:tcPr>
            <w:tcW w:type="dxa" w:w="2951"/>
            <w:tcMar>
              <w:top w:w="80" w:type="dxa"/>
              <w:start w:w="120" w:type="dxa"/>
              <w:bottom w:w="80" w:type="dxa"/>
              <w:end w:w="120" w:type="dxa"/>
            </w:tcMar>
            <w:vAlign w:val="center"/>
          </w:tcPr>
          <w:p>
            <w:pPr>
              <w:jc w:val="left"/>
            </w:pPr>
            <w:r>
              <w:rPr>
                <w:rFonts w:ascii="Calibri" w:hAnsi="Calibri" w:eastAsia="Calibri"/>
                <w:b w:val="0"/>
                <w:color w:val="222222"/>
                <w:sz w:val="20"/>
              </w:rPr>
              <w:t>Meets and extends standard.</w:t>
            </w:r>
          </w:p>
        </w:tc>
      </w:tr>
      <w:tr>
        <w:tc>
          <w:tcPr>
            <w:tcW w:type="dxa" w:w="2592"/>
            <w:tcMar>
              <w:top w:w="80" w:type="dxa"/>
              <w:start w:w="120" w:type="dxa"/>
              <w:bottom w:w="80" w:type="dxa"/>
              <w:end w:w="120" w:type="dxa"/>
            </w:tcMar>
            <w:vAlign w:val="center"/>
          </w:tcPr>
          <w:p>
            <w:pPr>
              <w:jc w:val="left"/>
            </w:pPr>
            <w:r>
              <w:rPr>
                <w:rFonts w:ascii="Calibri" w:hAnsi="Calibri" w:eastAsia="Calibri"/>
                <w:b w:val="0"/>
                <w:color w:val="222222"/>
                <w:sz w:val="20"/>
              </w:rPr>
              <w:t>ADP awareness</w:t>
            </w:r>
          </w:p>
        </w:tc>
        <w:tc>
          <w:tcPr>
            <w:tcW w:type="dxa" w:w="3816"/>
            <w:tcMar>
              <w:top w:w="80" w:type="dxa"/>
              <w:start w:w="120" w:type="dxa"/>
              <w:bottom w:w="80" w:type="dxa"/>
              <w:end w:w="120" w:type="dxa"/>
            </w:tcMar>
            <w:vAlign w:val="center"/>
          </w:tcPr>
          <w:p>
            <w:pPr>
              <w:jc w:val="left"/>
            </w:pPr>
            <w:r>
              <w:rPr>
                <w:rFonts w:ascii="Calibri" w:hAnsi="Calibri" w:eastAsia="Calibri"/>
                <w:b w:val="0"/>
                <w:color w:val="222222"/>
                <w:sz w:val="20"/>
              </w:rPr>
              <w:t>Compares projection rank to ADP rank and models survival to the next pick.</w:t>
            </w:r>
          </w:p>
        </w:tc>
        <w:tc>
          <w:tcPr>
            <w:tcW w:type="dxa" w:w="2951"/>
            <w:tcMar>
              <w:top w:w="80" w:type="dxa"/>
              <w:start w:w="120" w:type="dxa"/>
              <w:bottom w:w="80" w:type="dxa"/>
              <w:end w:w="120" w:type="dxa"/>
            </w:tcMar>
            <w:vAlign w:val="center"/>
          </w:tcPr>
          <w:p>
            <w:pPr>
              <w:jc w:val="left"/>
            </w:pPr>
            <w:r>
              <w:rPr>
                <w:rFonts w:ascii="Calibri" w:hAnsi="Calibri" w:eastAsia="Calibri"/>
                <w:b w:val="0"/>
                <w:color w:val="222222"/>
                <w:sz w:val="20"/>
              </w:rPr>
              <w:t>Above basic standard.</w:t>
            </w:r>
          </w:p>
        </w:tc>
      </w:tr>
      <w:tr>
        <w:tc>
          <w:tcPr>
            <w:tcW w:type="dxa" w:w="2592"/>
            <w:tcMar>
              <w:top w:w="80" w:type="dxa"/>
              <w:start w:w="120" w:type="dxa"/>
              <w:bottom w:w="80" w:type="dxa"/>
              <w:end w:w="120" w:type="dxa"/>
            </w:tcMar>
            <w:vAlign w:val="center"/>
          </w:tcPr>
          <w:p>
            <w:pPr>
              <w:jc w:val="left"/>
            </w:pPr>
            <w:r>
              <w:rPr>
                <w:rFonts w:ascii="Calibri" w:hAnsi="Calibri" w:eastAsia="Calibri"/>
                <w:b w:val="0"/>
                <w:color w:val="222222"/>
                <w:sz w:val="20"/>
              </w:rPr>
              <w:t>Tier drafting</w:t>
            </w:r>
          </w:p>
        </w:tc>
        <w:tc>
          <w:tcPr>
            <w:tcW w:type="dxa" w:w="3816"/>
            <w:tcMar>
              <w:top w:w="80" w:type="dxa"/>
              <w:start w:w="120" w:type="dxa"/>
              <w:bottom w:w="80" w:type="dxa"/>
              <w:end w:w="120" w:type="dxa"/>
            </w:tcMar>
            <w:vAlign w:val="center"/>
          </w:tcPr>
          <w:p>
            <w:pPr>
              <w:jc w:val="left"/>
            </w:pPr>
            <w:r>
              <w:rPr>
                <w:rFonts w:ascii="Calibri" w:hAnsi="Calibri" w:eastAsia="Calibri"/>
                <w:b w:val="0"/>
                <w:color w:val="222222"/>
                <w:sz w:val="20"/>
              </w:rPr>
              <w:t>Calculates tier urgency, tier drop-off, and desperation targets.</w:t>
            </w:r>
          </w:p>
        </w:tc>
        <w:tc>
          <w:tcPr>
            <w:tcW w:type="dxa" w:w="2951"/>
            <w:tcMar>
              <w:top w:w="80" w:type="dxa"/>
              <w:start w:w="120" w:type="dxa"/>
              <w:bottom w:w="80" w:type="dxa"/>
              <w:end w:w="120" w:type="dxa"/>
            </w:tcMar>
            <w:vAlign w:val="center"/>
          </w:tcPr>
          <w:p>
            <w:pPr>
              <w:jc w:val="left"/>
            </w:pPr>
            <w:r>
              <w:rPr>
                <w:rFonts w:ascii="Calibri" w:hAnsi="Calibri" w:eastAsia="Calibri"/>
                <w:b w:val="0"/>
                <w:color w:val="222222"/>
                <w:sz w:val="20"/>
              </w:rPr>
              <w:t>Meets standard.</w:t>
            </w:r>
          </w:p>
        </w:tc>
      </w:tr>
      <w:tr>
        <w:tc>
          <w:tcPr>
            <w:tcW w:type="dxa" w:w="2592"/>
            <w:tcMar>
              <w:top w:w="80" w:type="dxa"/>
              <w:start w:w="120" w:type="dxa"/>
              <w:bottom w:w="80" w:type="dxa"/>
              <w:end w:w="120" w:type="dxa"/>
            </w:tcMar>
            <w:vAlign w:val="center"/>
          </w:tcPr>
          <w:p>
            <w:pPr>
              <w:jc w:val="left"/>
            </w:pPr>
            <w:r>
              <w:rPr>
                <w:rFonts w:ascii="Calibri" w:hAnsi="Calibri" w:eastAsia="Calibri"/>
                <w:b w:val="0"/>
                <w:color w:val="222222"/>
                <w:sz w:val="20"/>
              </w:rPr>
              <w:t>Roster construction</w:t>
            </w:r>
          </w:p>
        </w:tc>
        <w:tc>
          <w:tcPr>
            <w:tcW w:type="dxa" w:w="3816"/>
            <w:tcMar>
              <w:top w:w="80" w:type="dxa"/>
              <w:start w:w="120" w:type="dxa"/>
              <w:bottom w:w="80" w:type="dxa"/>
              <w:end w:w="120" w:type="dxa"/>
            </w:tcMar>
            <w:vAlign w:val="center"/>
          </w:tcPr>
          <w:p>
            <w:pPr>
              <w:jc w:val="left"/>
            </w:pPr>
            <w:r>
              <w:rPr>
                <w:rFonts w:ascii="Calibri" w:hAnsi="Calibri" w:eastAsia="Calibri"/>
                <w:b w:val="0"/>
                <w:color w:val="222222"/>
                <w:sz w:val="20"/>
              </w:rPr>
              <w:t>Dynamically adjusts by current roster, position needs, and RB/WR imbalance.</w:t>
            </w:r>
          </w:p>
        </w:tc>
        <w:tc>
          <w:tcPr>
            <w:tcW w:type="dxa" w:w="2951"/>
            <w:tcMar>
              <w:top w:w="80" w:type="dxa"/>
              <w:start w:w="120" w:type="dxa"/>
              <w:bottom w:w="80" w:type="dxa"/>
              <w:end w:w="120" w:type="dxa"/>
            </w:tcMar>
            <w:vAlign w:val="center"/>
          </w:tcPr>
          <w:p>
            <w:pPr>
              <w:jc w:val="left"/>
            </w:pPr>
            <w:r>
              <w:rPr>
                <w:rFonts w:ascii="Calibri" w:hAnsi="Calibri" w:eastAsia="Calibri"/>
                <w:b w:val="0"/>
                <w:color w:val="222222"/>
                <w:sz w:val="20"/>
              </w:rPr>
              <w:t>Above static cheat-sheet standard.</w:t>
            </w:r>
          </w:p>
        </w:tc>
      </w:tr>
      <w:tr>
        <w:tc>
          <w:tcPr>
            <w:tcW w:type="dxa" w:w="2592"/>
            <w:tcMar>
              <w:top w:w="80" w:type="dxa"/>
              <w:start w:w="120" w:type="dxa"/>
              <w:bottom w:w="80" w:type="dxa"/>
              <w:end w:w="120" w:type="dxa"/>
            </w:tcMar>
            <w:vAlign w:val="center"/>
          </w:tcPr>
          <w:p>
            <w:pPr>
              <w:jc w:val="left"/>
            </w:pPr>
            <w:r>
              <w:rPr>
                <w:rFonts w:ascii="Calibri" w:hAnsi="Calibri" w:eastAsia="Calibri"/>
                <w:b w:val="0"/>
                <w:color w:val="222222"/>
                <w:sz w:val="20"/>
              </w:rPr>
              <w:t>Risk/upside</w:t>
            </w:r>
          </w:p>
        </w:tc>
        <w:tc>
          <w:tcPr>
            <w:tcW w:type="dxa" w:w="3816"/>
            <w:tcMar>
              <w:top w:w="80" w:type="dxa"/>
              <w:start w:w="120" w:type="dxa"/>
              <w:bottom w:w="80" w:type="dxa"/>
              <w:end w:w="120" w:type="dxa"/>
            </w:tcMar>
            <w:vAlign w:val="center"/>
          </w:tcPr>
          <w:p>
            <w:pPr>
              <w:jc w:val="left"/>
            </w:pPr>
            <w:r>
              <w:rPr>
                <w:rFonts w:ascii="Calibri" w:hAnsi="Calibri" w:eastAsia="Calibri"/>
                <w:b w:val="0"/>
                <w:color w:val="222222"/>
                <w:sz w:val="20"/>
              </w:rPr>
              <w:t>Uses injury risk, durability, boom/bust/stability, archetype, and safety scoring.</w:t>
            </w:r>
          </w:p>
        </w:tc>
        <w:tc>
          <w:tcPr>
            <w:tcW w:type="dxa" w:w="2951"/>
            <w:tcMar>
              <w:top w:w="80" w:type="dxa"/>
              <w:start w:w="120" w:type="dxa"/>
              <w:bottom w:w="80" w:type="dxa"/>
              <w:end w:w="120" w:type="dxa"/>
            </w:tcMar>
            <w:vAlign w:val="center"/>
          </w:tcPr>
          <w:p>
            <w:pPr>
              <w:jc w:val="left"/>
            </w:pPr>
            <w:r>
              <w:rPr>
                <w:rFonts w:ascii="Calibri" w:hAnsi="Calibri" w:eastAsia="Calibri"/>
                <w:b w:val="0"/>
                <w:color w:val="222222"/>
                <w:sz w:val="20"/>
              </w:rPr>
              <w:t>Meets standard, but source quality matters.</w:t>
            </w:r>
          </w:p>
        </w:tc>
      </w:tr>
      <w:tr>
        <w:tc>
          <w:tcPr>
            <w:tcW w:type="dxa" w:w="2592"/>
            <w:tcMar>
              <w:top w:w="80" w:type="dxa"/>
              <w:start w:w="120" w:type="dxa"/>
              <w:bottom w:w="80" w:type="dxa"/>
              <w:end w:w="120" w:type="dxa"/>
            </w:tcMar>
            <w:vAlign w:val="center"/>
          </w:tcPr>
          <w:p>
            <w:pPr>
              <w:jc w:val="left"/>
            </w:pPr>
            <w:r>
              <w:rPr>
                <w:rFonts w:ascii="Calibri" w:hAnsi="Calibri" w:eastAsia="Calibri"/>
                <w:b w:val="0"/>
                <w:color w:val="222222"/>
                <w:sz w:val="20"/>
              </w:rPr>
              <w:t>Simulation</w:t>
            </w:r>
          </w:p>
        </w:tc>
        <w:tc>
          <w:tcPr>
            <w:tcW w:type="dxa" w:w="3816"/>
            <w:tcMar>
              <w:top w:w="80" w:type="dxa"/>
              <w:start w:w="120" w:type="dxa"/>
              <w:bottom w:w="80" w:type="dxa"/>
              <w:end w:w="120" w:type="dxa"/>
            </w:tcMar>
            <w:vAlign w:val="center"/>
          </w:tcPr>
          <w:p>
            <w:pPr>
              <w:jc w:val="left"/>
            </w:pPr>
            <w:r>
              <w:rPr>
                <w:rFonts w:ascii="Calibri" w:hAnsi="Calibri" w:eastAsia="Calibri"/>
                <w:b w:val="0"/>
                <w:color w:val="222222"/>
                <w:sz w:val="20"/>
              </w:rPr>
              <w:t>Uses Monte Carlo availability/future-board/championship equity layers.</w:t>
            </w:r>
          </w:p>
        </w:tc>
        <w:tc>
          <w:tcPr>
            <w:tcW w:type="dxa" w:w="2951"/>
            <w:tcMar>
              <w:top w:w="80" w:type="dxa"/>
              <w:start w:w="120" w:type="dxa"/>
              <w:bottom w:w="80" w:type="dxa"/>
              <w:end w:w="120" w:type="dxa"/>
            </w:tcMar>
            <w:vAlign w:val="center"/>
          </w:tcPr>
          <w:p>
            <w:pPr>
              <w:jc w:val="left"/>
            </w:pPr>
            <w:r>
              <w:rPr>
                <w:rFonts w:ascii="Calibri" w:hAnsi="Calibri" w:eastAsia="Calibri"/>
                <w:b w:val="0"/>
                <w:color w:val="222222"/>
                <w:sz w:val="20"/>
              </w:rPr>
              <w:t>Advanced for a personal draft tool.</w:t>
            </w:r>
          </w:p>
        </w:tc>
      </w:tr>
      <w:tr>
        <w:tc>
          <w:tcPr>
            <w:tcW w:type="dxa" w:w="2592"/>
            <w:tcMar>
              <w:top w:w="80" w:type="dxa"/>
              <w:start w:w="120" w:type="dxa"/>
              <w:bottom w:w="80" w:type="dxa"/>
              <w:end w:w="120" w:type="dxa"/>
            </w:tcMar>
            <w:vAlign w:val="center"/>
          </w:tcPr>
          <w:p>
            <w:pPr>
              <w:jc w:val="left"/>
            </w:pPr>
            <w:r>
              <w:rPr>
                <w:rFonts w:ascii="Calibri" w:hAnsi="Calibri" w:eastAsia="Calibri"/>
                <w:b w:val="0"/>
                <w:color w:val="222222"/>
                <w:sz w:val="20"/>
              </w:rPr>
              <w:t>Historical validation</w:t>
            </w:r>
          </w:p>
        </w:tc>
        <w:tc>
          <w:tcPr>
            <w:tcW w:type="dxa" w:w="3816"/>
            <w:tcMar>
              <w:top w:w="80" w:type="dxa"/>
              <w:start w:w="120" w:type="dxa"/>
              <w:bottom w:w="80" w:type="dxa"/>
              <w:end w:w="120" w:type="dxa"/>
            </w:tcMar>
            <w:vAlign w:val="center"/>
          </w:tcPr>
          <w:p>
            <w:pPr>
              <w:jc w:val="left"/>
            </w:pPr>
            <w:r>
              <w:rPr>
                <w:rFonts w:ascii="Calibri" w:hAnsi="Calibri" w:eastAsia="Calibri"/>
                <w:b w:val="0"/>
                <w:color w:val="222222"/>
                <w:sz w:val="20"/>
              </w:rPr>
              <w:t>Research exists, but production model is not fully benchmark-frozen.</w:t>
            </w:r>
          </w:p>
        </w:tc>
        <w:tc>
          <w:tcPr>
            <w:tcW w:type="dxa" w:w="2951"/>
            <w:tcMar>
              <w:top w:w="80" w:type="dxa"/>
              <w:start w:w="120" w:type="dxa"/>
              <w:bottom w:w="80" w:type="dxa"/>
              <w:end w:w="120" w:type="dxa"/>
            </w:tcMar>
            <w:vAlign w:val="center"/>
          </w:tcPr>
          <w:p>
            <w:pPr>
              <w:jc w:val="left"/>
            </w:pPr>
            <w:r>
              <w:rPr>
                <w:rFonts w:ascii="Calibri" w:hAnsi="Calibri" w:eastAsia="Calibri"/>
                <w:b w:val="0"/>
                <w:color w:val="222222"/>
                <w:sz w:val="20"/>
              </w:rPr>
              <w:t>Below mature analytics standard.</w:t>
            </w:r>
          </w:p>
        </w:tc>
      </w:tr>
    </w:tbl>
    <w:p/>
    <w:p>
      <w:r>
        <w:rPr>
          <w:rFonts w:ascii="Calibri" w:hAnsi="Calibri" w:eastAsia="Calibri"/>
          <w:b w:val="0"/>
          <w:color w:val="222222"/>
          <w:sz w:val="22"/>
        </w:rPr>
        <w:t>Compared with a typical fantasy platform, the backend is strongest in dynamic draft context. Compared with a mature paid analytics model, it still needs stronger validation, calibration, and documented benchmark performance.</w:t>
      </w:r>
    </w:p>
    <w:p>
      <w:pPr>
        <w:pStyle w:val="Heading1"/>
      </w:pPr>
      <w:r>
        <w:rPr>
          <w:rFonts w:ascii="Calibri" w:hAnsi="Calibri" w:eastAsia="Calibri"/>
          <w:color w:val="2E74B5"/>
        </w:rPr>
        <w:t>5. Comparison to Statistical Modeling Standards</w:t>
      </w:r>
    </w:p>
    <w:p>
      <w:r>
        <w:rPr>
          <w:rFonts w:ascii="Calibri" w:hAnsi="Calibri" w:eastAsia="Calibri"/>
          <w:b w:val="0"/>
          <w:color w:val="222222"/>
          <w:sz w:val="22"/>
        </w:rPr>
        <w:t>From a statistics perspective, the current backend is best described as an interpretable scoring model plus simulation layer. It is not yet a fully validated supervised predictive model for season outcomes.</w:t>
      </w:r>
    </w:p>
    <w:p>
      <w:pPr>
        <w:pStyle w:val="ListBullet"/>
      </w:pPr>
      <w:r>
        <w:rPr>
          <w:rFonts w:ascii="Calibri" w:hAnsi="Calibri" w:eastAsia="Calibri"/>
          <w:b w:val="0"/>
          <w:color w:val="222222"/>
          <w:sz w:val="22"/>
        </w:rPr>
        <w:t>Strength: features are explainable and aligned with draft decision-making: projection, market price, scarcity, roster need, risk, and simulation outcomes.</w:t>
      </w:r>
    </w:p>
    <w:p>
      <w:pPr>
        <w:pStyle w:val="ListBullet"/>
      </w:pPr>
      <w:r>
        <w:rPr>
          <w:rFonts w:ascii="Calibri" w:hAnsi="Calibri" w:eastAsia="Calibri"/>
          <w:b w:val="0"/>
          <w:color w:val="222222"/>
          <w:sz w:val="22"/>
        </w:rPr>
        <w:t>Strength: the RB research result uses a regularized logistic regression framing, which is statistically sensible for underpriced-hit probability.</w:t>
      </w:r>
    </w:p>
    <w:p>
      <w:pPr>
        <w:pStyle w:val="ListBullet"/>
      </w:pPr>
      <w:r>
        <w:rPr>
          <w:rFonts w:ascii="Calibri" w:hAnsi="Calibri" w:eastAsia="Calibri"/>
          <w:b w:val="0"/>
          <w:color w:val="222222"/>
          <w:sz w:val="22"/>
        </w:rPr>
        <w:t>Strength: hit rate, base rate, lift, ROC AUC, and model family are already being tracked in research notes.</w:t>
      </w:r>
    </w:p>
    <w:p>
      <w:pPr>
        <w:pStyle w:val="ListBullet"/>
      </w:pPr>
      <w:r>
        <w:rPr>
          <w:rFonts w:ascii="Calibri" w:hAnsi="Calibri" w:eastAsia="Calibri"/>
          <w:b w:val="0"/>
          <w:color w:val="222222"/>
          <w:sz w:val="22"/>
        </w:rPr>
        <w:t>Gap: the app-facing model lacks a frozen historical backtest with train/test separation by season.</w:t>
      </w:r>
    </w:p>
    <w:p>
      <w:pPr>
        <w:pStyle w:val="ListBullet"/>
      </w:pPr>
      <w:r>
        <w:rPr>
          <w:rFonts w:ascii="Calibri" w:hAnsi="Calibri" w:eastAsia="Calibri"/>
          <w:b w:val="0"/>
          <w:color w:val="222222"/>
          <w:sz w:val="22"/>
        </w:rPr>
        <w:t>Gap: the model score is not calibrated to a real probability, so a 90 score should not be read as a 90% chance of success.</w:t>
      </w:r>
    </w:p>
    <w:p>
      <w:pPr>
        <w:pStyle w:val="ListBullet"/>
      </w:pPr>
      <w:r>
        <w:rPr>
          <w:rFonts w:ascii="Calibri" w:hAnsi="Calibri" w:eastAsia="Calibri"/>
          <w:b w:val="0"/>
          <w:color w:val="222222"/>
          <w:sz w:val="22"/>
        </w:rPr>
        <w:t>Gap: there is not yet a benchmark table against simple baselines such as ADP-only, projection-only, ECR-only, and value-over-replacement-only.</w:t>
      </w:r>
    </w:p>
    <w:p>
      <w:pPr>
        <w:pStyle w:val="ListBullet"/>
      </w:pPr>
      <w:r>
        <w:rPr>
          <w:rFonts w:ascii="Calibri" w:hAnsi="Calibri" w:eastAsia="Calibri"/>
          <w:b w:val="0"/>
          <w:color w:val="222222"/>
          <w:sz w:val="22"/>
        </w:rPr>
        <w:t>Gap: uncertainty intervals and sensitivity checks are not yet shown for simulation outputs.</w:t>
      </w:r>
    </w:p>
    <w:p>
      <w:r>
        <w:rPr>
          <w:rFonts w:ascii="Calibri" w:hAnsi="Calibri" w:eastAsia="Calibri"/>
          <w:b w:val="0"/>
          <w:color w:val="222222"/>
          <w:sz w:val="22"/>
        </w:rPr>
        <w:t>Industry-grade statistical practice would ask the model to prove that it beats simpler baselines out of sample, that probability outputs are calibrated, and that performance remains stable across seasons, positions, draft ranges, and scoring formats.</w:t>
      </w:r>
    </w:p>
    <w:p>
      <w:pPr>
        <w:pStyle w:val="Heading1"/>
      </w:pPr>
      <w:r>
        <w:rPr>
          <w:rFonts w:ascii="Calibri" w:hAnsi="Calibri" w:eastAsia="Calibri"/>
          <w:color w:val="2E74B5"/>
        </w:rPr>
        <w:t>6. Trusted vs Experimental</w:t>
      </w:r>
    </w:p>
    <w:tbl>
      <w:tblPr>
        <w:tblStyle w:val="TableGrid"/>
        <w:tblW w:type="dxa" w:w="9360"/>
        <w:tblLook w:firstColumn="1" w:firstRow="1" w:lastColumn="0" w:lastRow="0" w:noHBand="0" w:noVBand="1" w:val="04A0"/>
        <w:tblInd w:w="120" w:type="dxa"/>
      </w:tblPr>
      <w:tblGrid>
        <w:gridCol w:w="2736"/>
        <w:gridCol w:w="2664"/>
        <w:gridCol w:w="3960"/>
      </w:tblGrid>
      <w:tr>
        <w:tc>
          <w:tcPr>
            <w:tcW w:type="dxa" w:w="2736"/>
            <w:shd w:fill="F2F4F7"/>
            <w:tcMar>
              <w:top w:w="80" w:type="dxa"/>
              <w:start w:w="120" w:type="dxa"/>
              <w:bottom w:w="80" w:type="dxa"/>
              <w:end w:w="120" w:type="dxa"/>
            </w:tcMar>
          </w:tcPr>
          <w:p>
            <w:pPr>
              <w:jc w:val="center"/>
            </w:pPr>
            <w:r>
              <w:rPr>
                <w:rFonts w:ascii="Calibri" w:hAnsi="Calibri" w:eastAsia="Calibri"/>
                <w:b/>
                <w:color w:val="1F4D78"/>
                <w:sz w:val="22"/>
              </w:rPr>
              <w:t>Area</w:t>
            </w:r>
          </w:p>
        </w:tc>
        <w:tc>
          <w:tcPr>
            <w:tcW w:type="dxa" w:w="2664"/>
            <w:shd w:fill="F2F4F7"/>
            <w:tcMar>
              <w:top w:w="80" w:type="dxa"/>
              <w:start w:w="120" w:type="dxa"/>
              <w:bottom w:w="80" w:type="dxa"/>
              <w:end w:w="120" w:type="dxa"/>
            </w:tcMar>
          </w:tcPr>
          <w:p>
            <w:pPr>
              <w:jc w:val="center"/>
            </w:pPr>
            <w:r>
              <w:rPr>
                <w:rFonts w:ascii="Calibri" w:hAnsi="Calibri" w:eastAsia="Calibri"/>
                <w:b/>
                <w:color w:val="1F4D78"/>
                <w:sz w:val="22"/>
              </w:rPr>
              <w:t>Current Status</w:t>
            </w:r>
          </w:p>
        </w:tc>
        <w:tc>
          <w:tcPr>
            <w:tcW w:type="dxa" w:w="3960"/>
            <w:shd w:fill="F2F4F7"/>
            <w:tcMar>
              <w:top w:w="80" w:type="dxa"/>
              <w:start w:w="120" w:type="dxa"/>
              <w:bottom w:w="80" w:type="dxa"/>
              <w:end w:w="120" w:type="dxa"/>
            </w:tcMar>
          </w:tcPr>
          <w:p>
            <w:pPr>
              <w:jc w:val="center"/>
            </w:pPr>
            <w:r>
              <w:rPr>
                <w:rFonts w:ascii="Calibri" w:hAnsi="Calibri" w:eastAsia="Calibri"/>
                <w:b/>
                <w:color w:val="1F4D78"/>
                <w:sz w:val="22"/>
              </w:rPr>
              <w:t>Use Right Now</w:t>
            </w:r>
          </w:p>
        </w:tc>
      </w:tr>
      <w:tr>
        <w:tc>
          <w:tcPr>
            <w:tcW w:type="dxa" w:w="2736"/>
            <w:tcMar>
              <w:top w:w="80" w:type="dxa"/>
              <w:start w:w="120" w:type="dxa"/>
              <w:bottom w:w="80" w:type="dxa"/>
              <w:end w:w="120" w:type="dxa"/>
            </w:tcMar>
            <w:vAlign w:val="center"/>
          </w:tcPr>
          <w:p>
            <w:pPr>
              <w:jc w:val="left"/>
            </w:pPr>
            <w:r>
              <w:rPr>
                <w:rFonts w:ascii="Calibri" w:hAnsi="Calibri" w:eastAsia="Calibri"/>
                <w:b w:val="0"/>
                <w:color w:val="222222"/>
                <w:sz w:val="20"/>
              </w:rPr>
              <w:t>Master recommendation score</w:t>
            </w:r>
          </w:p>
        </w:tc>
        <w:tc>
          <w:tcPr>
            <w:tcW w:type="dxa" w:w="2664"/>
            <w:tcMar>
              <w:top w:w="80" w:type="dxa"/>
              <w:start w:w="120" w:type="dxa"/>
              <w:bottom w:w="80" w:type="dxa"/>
              <w:end w:w="120" w:type="dxa"/>
            </w:tcMar>
            <w:vAlign w:val="center"/>
          </w:tcPr>
          <w:p>
            <w:pPr>
              <w:jc w:val="left"/>
            </w:pPr>
            <w:r>
              <w:rPr>
                <w:rFonts w:ascii="Calibri" w:hAnsi="Calibri" w:eastAsia="Calibri"/>
                <w:b w:val="0"/>
                <w:color w:val="222222"/>
                <w:sz w:val="20"/>
              </w:rPr>
              <w:t>Trusted directionally</w:t>
            </w:r>
          </w:p>
        </w:tc>
        <w:tc>
          <w:tcPr>
            <w:tcW w:type="dxa" w:w="3960"/>
            <w:tcMar>
              <w:top w:w="80" w:type="dxa"/>
              <w:start w:w="120" w:type="dxa"/>
              <w:bottom w:w="80" w:type="dxa"/>
              <w:end w:w="120" w:type="dxa"/>
            </w:tcMar>
            <w:vAlign w:val="center"/>
          </w:tcPr>
          <w:p>
            <w:pPr>
              <w:jc w:val="left"/>
            </w:pPr>
            <w:r>
              <w:rPr>
                <w:rFonts w:ascii="Calibri" w:hAnsi="Calibri" w:eastAsia="Calibri"/>
                <w:b w:val="0"/>
                <w:color w:val="222222"/>
                <w:sz w:val="20"/>
              </w:rPr>
              <w:t>Use as the core ranking signal.</w:t>
            </w:r>
          </w:p>
        </w:tc>
      </w:tr>
      <w:tr>
        <w:tc>
          <w:tcPr>
            <w:tcW w:type="dxa" w:w="2736"/>
            <w:tcMar>
              <w:top w:w="80" w:type="dxa"/>
              <w:start w:w="120" w:type="dxa"/>
              <w:bottom w:w="80" w:type="dxa"/>
              <w:end w:w="120" w:type="dxa"/>
            </w:tcMar>
            <w:vAlign w:val="center"/>
          </w:tcPr>
          <w:p>
            <w:pPr>
              <w:jc w:val="left"/>
            </w:pPr>
            <w:r>
              <w:rPr>
                <w:rFonts w:ascii="Calibri" w:hAnsi="Calibri" w:eastAsia="Calibri"/>
                <w:b w:val="0"/>
                <w:color w:val="222222"/>
                <w:sz w:val="20"/>
              </w:rPr>
              <w:t>Consensus score</w:t>
            </w:r>
          </w:p>
        </w:tc>
        <w:tc>
          <w:tcPr>
            <w:tcW w:type="dxa" w:w="2664"/>
            <w:tcMar>
              <w:top w:w="80" w:type="dxa"/>
              <w:start w:w="120" w:type="dxa"/>
              <w:bottom w:w="80" w:type="dxa"/>
              <w:end w:w="120" w:type="dxa"/>
            </w:tcMar>
            <w:vAlign w:val="center"/>
          </w:tcPr>
          <w:p>
            <w:pPr>
              <w:jc w:val="left"/>
            </w:pPr>
            <w:r>
              <w:rPr>
                <w:rFonts w:ascii="Calibri" w:hAnsi="Calibri" w:eastAsia="Calibri"/>
                <w:b w:val="0"/>
                <w:color w:val="222222"/>
                <w:sz w:val="20"/>
              </w:rPr>
              <w:t>Trusted directionally</w:t>
            </w:r>
          </w:p>
        </w:tc>
        <w:tc>
          <w:tcPr>
            <w:tcW w:type="dxa" w:w="3960"/>
            <w:tcMar>
              <w:top w:w="80" w:type="dxa"/>
              <w:start w:w="120" w:type="dxa"/>
              <w:bottom w:w="80" w:type="dxa"/>
              <w:end w:w="120" w:type="dxa"/>
            </w:tcMar>
            <w:vAlign w:val="center"/>
          </w:tcPr>
          <w:p>
            <w:pPr>
              <w:jc w:val="left"/>
            </w:pPr>
            <w:r>
              <w:rPr>
                <w:rFonts w:ascii="Calibri" w:hAnsi="Calibri" w:eastAsia="Calibri"/>
                <w:b w:val="0"/>
                <w:color w:val="222222"/>
                <w:sz w:val="20"/>
              </w:rPr>
              <w:t>Use as the Draft Mode decision layer.</w:t>
            </w:r>
          </w:p>
        </w:tc>
      </w:tr>
      <w:tr>
        <w:tc>
          <w:tcPr>
            <w:tcW w:type="dxa" w:w="2736"/>
            <w:tcMar>
              <w:top w:w="80" w:type="dxa"/>
              <w:start w:w="120" w:type="dxa"/>
              <w:bottom w:w="80" w:type="dxa"/>
              <w:end w:w="120" w:type="dxa"/>
            </w:tcMar>
            <w:vAlign w:val="center"/>
          </w:tcPr>
          <w:p>
            <w:pPr>
              <w:jc w:val="left"/>
            </w:pPr>
            <w:r>
              <w:rPr>
                <w:rFonts w:ascii="Calibri" w:hAnsi="Calibri" w:eastAsia="Calibri"/>
                <w:b w:val="0"/>
                <w:color w:val="222222"/>
                <w:sz w:val="20"/>
              </w:rPr>
              <w:t>ADP value</w:t>
            </w:r>
          </w:p>
        </w:tc>
        <w:tc>
          <w:tcPr>
            <w:tcW w:type="dxa" w:w="2664"/>
            <w:tcMar>
              <w:top w:w="80" w:type="dxa"/>
              <w:start w:w="120" w:type="dxa"/>
              <w:bottom w:w="80" w:type="dxa"/>
              <w:end w:w="120" w:type="dxa"/>
            </w:tcMar>
            <w:vAlign w:val="center"/>
          </w:tcPr>
          <w:p>
            <w:pPr>
              <w:jc w:val="left"/>
            </w:pPr>
            <w:r>
              <w:rPr>
                <w:rFonts w:ascii="Calibri" w:hAnsi="Calibri" w:eastAsia="Calibri"/>
                <w:b w:val="0"/>
                <w:color w:val="222222"/>
                <w:sz w:val="20"/>
              </w:rPr>
              <w:t>Trusted with guardrails</w:t>
            </w:r>
          </w:p>
        </w:tc>
        <w:tc>
          <w:tcPr>
            <w:tcW w:type="dxa" w:w="3960"/>
            <w:tcMar>
              <w:top w:w="80" w:type="dxa"/>
              <w:start w:w="120" w:type="dxa"/>
              <w:bottom w:w="80" w:type="dxa"/>
              <w:end w:w="120" w:type="dxa"/>
            </w:tcMar>
            <w:vAlign w:val="center"/>
          </w:tcPr>
          <w:p>
            <w:pPr>
              <w:jc w:val="left"/>
            </w:pPr>
            <w:r>
              <w:rPr>
                <w:rFonts w:ascii="Calibri" w:hAnsi="Calibri" w:eastAsia="Calibri"/>
                <w:b w:val="0"/>
                <w:color w:val="222222"/>
                <w:sz w:val="20"/>
              </w:rPr>
              <w:t>Use when ADP/projection inputs pass trust checks.</w:t>
            </w:r>
          </w:p>
        </w:tc>
      </w:tr>
      <w:tr>
        <w:tc>
          <w:tcPr>
            <w:tcW w:type="dxa" w:w="2736"/>
            <w:tcMar>
              <w:top w:w="80" w:type="dxa"/>
              <w:start w:w="120" w:type="dxa"/>
              <w:bottom w:w="80" w:type="dxa"/>
              <w:end w:w="120" w:type="dxa"/>
            </w:tcMar>
            <w:vAlign w:val="center"/>
          </w:tcPr>
          <w:p>
            <w:pPr>
              <w:jc w:val="left"/>
            </w:pPr>
            <w:r>
              <w:rPr>
                <w:rFonts w:ascii="Calibri" w:hAnsi="Calibri" w:eastAsia="Calibri"/>
                <w:b w:val="0"/>
                <w:color w:val="222222"/>
                <w:sz w:val="20"/>
              </w:rPr>
              <w:t>Availability probability</w:t>
            </w:r>
          </w:p>
        </w:tc>
        <w:tc>
          <w:tcPr>
            <w:tcW w:type="dxa" w:w="2664"/>
            <w:tcMar>
              <w:top w:w="80" w:type="dxa"/>
              <w:start w:w="120" w:type="dxa"/>
              <w:bottom w:w="80" w:type="dxa"/>
              <w:end w:w="120" w:type="dxa"/>
            </w:tcMar>
            <w:vAlign w:val="center"/>
          </w:tcPr>
          <w:p>
            <w:pPr>
              <w:jc w:val="left"/>
            </w:pPr>
            <w:r>
              <w:rPr>
                <w:rFonts w:ascii="Calibri" w:hAnsi="Calibri" w:eastAsia="Calibri"/>
                <w:b w:val="0"/>
                <w:color w:val="222222"/>
                <w:sz w:val="20"/>
              </w:rPr>
              <w:t>Directional</w:t>
            </w:r>
          </w:p>
        </w:tc>
        <w:tc>
          <w:tcPr>
            <w:tcW w:type="dxa" w:w="3960"/>
            <w:tcMar>
              <w:top w:w="80" w:type="dxa"/>
              <w:start w:w="120" w:type="dxa"/>
              <w:bottom w:w="80" w:type="dxa"/>
              <w:end w:w="120" w:type="dxa"/>
            </w:tcMar>
            <w:vAlign w:val="center"/>
          </w:tcPr>
          <w:p>
            <w:pPr>
              <w:jc w:val="left"/>
            </w:pPr>
            <w:r>
              <w:rPr>
                <w:rFonts w:ascii="Calibri" w:hAnsi="Calibri" w:eastAsia="Calibri"/>
                <w:b w:val="0"/>
                <w:color w:val="222222"/>
                <w:sz w:val="20"/>
              </w:rPr>
              <w:t>Use for wait/take guidance, not exact odds.</w:t>
            </w:r>
          </w:p>
        </w:tc>
      </w:tr>
      <w:tr>
        <w:tc>
          <w:tcPr>
            <w:tcW w:type="dxa" w:w="2736"/>
            <w:tcMar>
              <w:top w:w="80" w:type="dxa"/>
              <w:start w:w="120" w:type="dxa"/>
              <w:bottom w:w="80" w:type="dxa"/>
              <w:end w:w="120" w:type="dxa"/>
            </w:tcMar>
            <w:vAlign w:val="center"/>
          </w:tcPr>
          <w:p>
            <w:pPr>
              <w:jc w:val="left"/>
            </w:pPr>
            <w:r>
              <w:rPr>
                <w:rFonts w:ascii="Calibri" w:hAnsi="Calibri" w:eastAsia="Calibri"/>
                <w:b w:val="0"/>
                <w:color w:val="222222"/>
                <w:sz w:val="20"/>
              </w:rPr>
              <w:t>Championship equity V2</w:t>
            </w:r>
          </w:p>
        </w:tc>
        <w:tc>
          <w:tcPr>
            <w:tcW w:type="dxa" w:w="2664"/>
            <w:tcMar>
              <w:top w:w="80" w:type="dxa"/>
              <w:start w:w="120" w:type="dxa"/>
              <w:bottom w:w="80" w:type="dxa"/>
              <w:end w:w="120" w:type="dxa"/>
            </w:tcMar>
            <w:vAlign w:val="center"/>
          </w:tcPr>
          <w:p>
            <w:pPr>
              <w:jc w:val="left"/>
            </w:pPr>
            <w:r>
              <w:rPr>
                <w:rFonts w:ascii="Calibri" w:hAnsi="Calibri" w:eastAsia="Calibri"/>
                <w:b w:val="0"/>
                <w:color w:val="222222"/>
                <w:sz w:val="20"/>
              </w:rPr>
              <w:t>Directional</w:t>
            </w:r>
          </w:p>
        </w:tc>
        <w:tc>
          <w:tcPr>
            <w:tcW w:type="dxa" w:w="3960"/>
            <w:tcMar>
              <w:top w:w="80" w:type="dxa"/>
              <w:start w:w="120" w:type="dxa"/>
              <w:bottom w:w="80" w:type="dxa"/>
              <w:end w:w="120" w:type="dxa"/>
            </w:tcMar>
            <w:vAlign w:val="center"/>
          </w:tcPr>
          <w:p>
            <w:pPr>
              <w:jc w:val="left"/>
            </w:pPr>
            <w:r>
              <w:rPr>
                <w:rFonts w:ascii="Calibri" w:hAnsi="Calibri" w:eastAsia="Calibri"/>
                <w:b w:val="0"/>
                <w:color w:val="222222"/>
                <w:sz w:val="20"/>
              </w:rPr>
              <w:t>Use for upside/portfolio context, not literal title odds.</w:t>
            </w:r>
          </w:p>
        </w:tc>
      </w:tr>
      <w:tr>
        <w:tc>
          <w:tcPr>
            <w:tcW w:type="dxa" w:w="2736"/>
            <w:tcMar>
              <w:top w:w="80" w:type="dxa"/>
              <w:start w:w="120" w:type="dxa"/>
              <w:bottom w:w="80" w:type="dxa"/>
              <w:end w:w="120" w:type="dxa"/>
            </w:tcMar>
            <w:vAlign w:val="center"/>
          </w:tcPr>
          <w:p>
            <w:pPr>
              <w:jc w:val="left"/>
            </w:pPr>
            <w:r>
              <w:rPr>
                <w:rFonts w:ascii="Calibri" w:hAnsi="Calibri" w:eastAsia="Calibri"/>
                <w:b w:val="0"/>
                <w:color w:val="222222"/>
                <w:sz w:val="20"/>
              </w:rPr>
              <w:t>WR underpriced models</w:t>
            </w:r>
          </w:p>
        </w:tc>
        <w:tc>
          <w:tcPr>
            <w:tcW w:type="dxa" w:w="2664"/>
            <w:tcMar>
              <w:top w:w="80" w:type="dxa"/>
              <w:start w:w="120" w:type="dxa"/>
              <w:bottom w:w="80" w:type="dxa"/>
              <w:end w:w="120" w:type="dxa"/>
            </w:tcMar>
            <w:vAlign w:val="center"/>
          </w:tcPr>
          <w:p>
            <w:pPr>
              <w:jc w:val="left"/>
            </w:pPr>
            <w:r>
              <w:rPr>
                <w:rFonts w:ascii="Calibri" w:hAnsi="Calibri" w:eastAsia="Calibri"/>
                <w:b w:val="0"/>
                <w:color w:val="222222"/>
                <w:sz w:val="20"/>
              </w:rPr>
              <w:t>Research-only</w:t>
            </w:r>
          </w:p>
        </w:tc>
        <w:tc>
          <w:tcPr>
            <w:tcW w:type="dxa" w:w="3960"/>
            <w:tcMar>
              <w:top w:w="80" w:type="dxa"/>
              <w:start w:w="120" w:type="dxa"/>
              <w:bottom w:w="80" w:type="dxa"/>
              <w:end w:w="120" w:type="dxa"/>
            </w:tcMar>
            <w:vAlign w:val="center"/>
          </w:tcPr>
          <w:p>
            <w:pPr>
              <w:jc w:val="left"/>
            </w:pPr>
            <w:r>
              <w:rPr>
                <w:rFonts w:ascii="Calibri" w:hAnsi="Calibri" w:eastAsia="Calibri"/>
                <w:b w:val="0"/>
                <w:color w:val="222222"/>
                <w:sz w:val="20"/>
              </w:rPr>
              <w:t>Do not wire into Draft Mode yet.</w:t>
            </w:r>
          </w:p>
        </w:tc>
      </w:tr>
      <w:tr>
        <w:tc>
          <w:tcPr>
            <w:tcW w:type="dxa" w:w="2736"/>
            <w:tcMar>
              <w:top w:w="80" w:type="dxa"/>
              <w:start w:w="120" w:type="dxa"/>
              <w:bottom w:w="80" w:type="dxa"/>
              <w:end w:w="120" w:type="dxa"/>
            </w:tcMar>
            <w:vAlign w:val="center"/>
          </w:tcPr>
          <w:p>
            <w:pPr>
              <w:jc w:val="left"/>
            </w:pPr>
            <w:r>
              <w:rPr>
                <w:rFonts w:ascii="Calibri" w:hAnsi="Calibri" w:eastAsia="Calibri"/>
                <w:b w:val="0"/>
                <w:color w:val="222222"/>
                <w:sz w:val="20"/>
              </w:rPr>
              <w:t>RB underpriced model</w:t>
            </w:r>
          </w:p>
        </w:tc>
        <w:tc>
          <w:tcPr>
            <w:tcW w:type="dxa" w:w="2664"/>
            <w:tcMar>
              <w:top w:w="80" w:type="dxa"/>
              <w:start w:w="120" w:type="dxa"/>
              <w:bottom w:w="80" w:type="dxa"/>
              <w:end w:w="120" w:type="dxa"/>
            </w:tcMar>
            <w:vAlign w:val="center"/>
          </w:tcPr>
          <w:p>
            <w:pPr>
              <w:jc w:val="left"/>
            </w:pPr>
            <w:r>
              <w:rPr>
                <w:rFonts w:ascii="Calibri" w:hAnsi="Calibri" w:eastAsia="Calibri"/>
                <w:b w:val="0"/>
                <w:color w:val="222222"/>
                <w:sz w:val="20"/>
              </w:rPr>
              <w:t>Promising research-only</w:t>
            </w:r>
          </w:p>
        </w:tc>
        <w:tc>
          <w:tcPr>
            <w:tcW w:type="dxa" w:w="3960"/>
            <w:tcMar>
              <w:top w:w="80" w:type="dxa"/>
              <w:start w:w="120" w:type="dxa"/>
              <w:bottom w:w="80" w:type="dxa"/>
              <w:end w:w="120" w:type="dxa"/>
            </w:tcMar>
            <w:vAlign w:val="center"/>
          </w:tcPr>
          <w:p>
            <w:pPr>
              <w:jc w:val="left"/>
            </w:pPr>
            <w:r>
              <w:rPr>
                <w:rFonts w:ascii="Calibri" w:hAnsi="Calibri" w:eastAsia="Calibri"/>
                <w:b w:val="0"/>
                <w:color w:val="222222"/>
                <w:sz w:val="20"/>
              </w:rPr>
              <w:t>Benchmark/freeze audit before app use.</w:t>
            </w:r>
          </w:p>
        </w:tc>
      </w:tr>
      <w:tr>
        <w:tc>
          <w:tcPr>
            <w:tcW w:type="dxa" w:w="2736"/>
            <w:tcMar>
              <w:top w:w="80" w:type="dxa"/>
              <w:start w:w="120" w:type="dxa"/>
              <w:bottom w:w="80" w:type="dxa"/>
              <w:end w:w="120" w:type="dxa"/>
            </w:tcMar>
            <w:vAlign w:val="center"/>
          </w:tcPr>
          <w:p>
            <w:pPr>
              <w:jc w:val="left"/>
            </w:pPr>
            <w:r>
              <w:rPr>
                <w:rFonts w:ascii="Calibri" w:hAnsi="Calibri" w:eastAsia="Calibri"/>
                <w:b w:val="0"/>
                <w:color w:val="222222"/>
                <w:sz w:val="20"/>
              </w:rPr>
              <w:t>Score V4</w:t>
            </w:r>
          </w:p>
        </w:tc>
        <w:tc>
          <w:tcPr>
            <w:tcW w:type="dxa" w:w="2664"/>
            <w:tcMar>
              <w:top w:w="80" w:type="dxa"/>
              <w:start w:w="120" w:type="dxa"/>
              <w:bottom w:w="80" w:type="dxa"/>
              <w:end w:w="120" w:type="dxa"/>
            </w:tcMar>
            <w:vAlign w:val="center"/>
          </w:tcPr>
          <w:p>
            <w:pPr>
              <w:jc w:val="left"/>
            </w:pPr>
            <w:r>
              <w:rPr>
                <w:rFonts w:ascii="Calibri" w:hAnsi="Calibri" w:eastAsia="Calibri"/>
                <w:b w:val="0"/>
                <w:color w:val="222222"/>
                <w:sz w:val="20"/>
              </w:rPr>
              <w:t>Paused</w:t>
            </w:r>
          </w:p>
        </w:tc>
        <w:tc>
          <w:tcPr>
            <w:tcW w:type="dxa" w:w="3960"/>
            <w:tcMar>
              <w:top w:w="80" w:type="dxa"/>
              <w:start w:w="120" w:type="dxa"/>
              <w:bottom w:w="80" w:type="dxa"/>
              <w:end w:w="120" w:type="dxa"/>
            </w:tcMar>
            <w:vAlign w:val="center"/>
          </w:tcPr>
          <w:p>
            <w:pPr>
              <w:jc w:val="left"/>
            </w:pPr>
            <w:r>
              <w:rPr>
                <w:rFonts w:ascii="Calibri" w:hAnsi="Calibri" w:eastAsia="Calibri"/>
                <w:b w:val="0"/>
                <w:color w:val="222222"/>
                <w:sz w:val="20"/>
              </w:rPr>
              <w:t>Do not use until compression issue is resolved.</w:t>
            </w:r>
          </w:p>
        </w:tc>
      </w:tr>
    </w:tbl>
    <w:p/>
    <w:p>
      <w:pPr>
        <w:pStyle w:val="Heading1"/>
      </w:pPr>
      <w:r>
        <w:rPr>
          <w:rFonts w:ascii="Calibri" w:hAnsi="Calibri" w:eastAsia="Calibri"/>
          <w:color w:val="2E74B5"/>
        </w:rPr>
        <w:t>7. Recommended Backend-Only Roadmap</w:t>
      </w:r>
    </w:p>
    <w:p>
      <w:r>
        <w:rPr>
          <w:rFonts w:ascii="Calibri" w:hAnsi="Calibri" w:eastAsia="Calibri"/>
          <w:b w:val="0"/>
          <w:color w:val="222222"/>
          <w:sz w:val="22"/>
        </w:rPr>
        <w:t>The next work should focus on model proof, not UI cleanup.</w:t>
      </w:r>
    </w:p>
    <w:p>
      <w:pPr>
        <w:pStyle w:val="ListBullet"/>
      </w:pPr>
      <w:r>
        <w:rPr>
          <w:rFonts w:ascii="Calibri" w:hAnsi="Calibri" w:eastAsia="Calibri"/>
          <w:b w:val="0"/>
          <w:color w:val="222222"/>
          <w:sz w:val="22"/>
        </w:rPr>
        <w:t>Freeze definitions: define target outcomes for WR2, WR1 ceiling, RB2, league-winning picks, and bust outcomes.</w:t>
      </w:r>
    </w:p>
    <w:p>
      <w:pPr>
        <w:pStyle w:val="ListBullet"/>
      </w:pPr>
      <w:r>
        <w:rPr>
          <w:rFonts w:ascii="Calibri" w:hAnsi="Calibri" w:eastAsia="Calibri"/>
          <w:b w:val="0"/>
          <w:color w:val="222222"/>
          <w:sz w:val="22"/>
        </w:rPr>
        <w:t>Build baselines: compare every research model against ADP-only, projection-only, ECR-only, and simple value-over-replacement rankings.</w:t>
      </w:r>
    </w:p>
    <w:p>
      <w:pPr>
        <w:pStyle w:val="ListBullet"/>
      </w:pPr>
      <w:r>
        <w:rPr>
          <w:rFonts w:ascii="Calibri" w:hAnsi="Calibri" w:eastAsia="Calibri"/>
          <w:b w:val="0"/>
          <w:color w:val="222222"/>
          <w:sz w:val="22"/>
        </w:rPr>
        <w:t>Backtest by season: train on older seasons and test on held-out future seasons to reduce leakage.</w:t>
      </w:r>
    </w:p>
    <w:p>
      <w:pPr>
        <w:pStyle w:val="ListBullet"/>
      </w:pPr>
      <w:r>
        <w:rPr>
          <w:rFonts w:ascii="Calibri" w:hAnsi="Calibri" w:eastAsia="Calibri"/>
          <w:b w:val="0"/>
          <w:color w:val="222222"/>
          <w:sz w:val="22"/>
        </w:rPr>
        <w:t>Calibrate probabilities: if a model says 40%, players in that bucket should hit about 40% over time.</w:t>
      </w:r>
    </w:p>
    <w:p>
      <w:pPr>
        <w:pStyle w:val="ListBullet"/>
      </w:pPr>
      <w:r>
        <w:rPr>
          <w:rFonts w:ascii="Calibri" w:hAnsi="Calibri" w:eastAsia="Calibri"/>
          <w:b w:val="0"/>
          <w:color w:val="222222"/>
          <w:sz w:val="22"/>
        </w:rPr>
        <w:t>Separate ranking scores from probabilities: keep model score for ordering, but reserve probability language for calibrated models.</w:t>
      </w:r>
    </w:p>
    <w:p>
      <w:pPr>
        <w:pStyle w:val="ListBullet"/>
      </w:pPr>
      <w:r>
        <w:rPr>
          <w:rFonts w:ascii="Calibri" w:hAnsi="Calibri" w:eastAsia="Calibri"/>
          <w:b w:val="0"/>
          <w:color w:val="222222"/>
          <w:sz w:val="22"/>
        </w:rPr>
        <w:t>Audit feature leakage: verify that no future-season outcome data sneaks into draft-time features.</w:t>
      </w:r>
    </w:p>
    <w:p>
      <w:pPr>
        <w:pStyle w:val="ListBullet"/>
      </w:pPr>
      <w:r>
        <w:rPr>
          <w:rFonts w:ascii="Calibri" w:hAnsi="Calibri" w:eastAsia="Calibri"/>
          <w:b w:val="0"/>
          <w:color w:val="222222"/>
          <w:sz w:val="22"/>
        </w:rPr>
        <w:t>Promote only frozen signals: wire research into Draft Mode only after benchmark, calibration, and documentation pass.</w:t>
      </w:r>
    </w:p>
    <w:p>
      <w:pPr>
        <w:pStyle w:val="Heading1"/>
      </w:pPr>
      <w:r>
        <w:rPr>
          <w:rFonts w:ascii="Calibri" w:hAnsi="Calibri" w:eastAsia="Calibri"/>
          <w:color w:val="2E74B5"/>
        </w:rPr>
        <w:t>8. Owner Takeaway</w:t>
      </w:r>
    </w:p>
    <w:tbl>
      <w:tblPr>
        <w:tblStyle w:val="TableGrid"/>
        <w:tblW w:type="dxa" w:w="9360"/>
        <w:tblLook w:firstColumn="1" w:firstRow="1" w:lastColumn="0" w:lastRow="0" w:noHBand="0" w:noVBand="1" w:val="04A0"/>
        <w:tblInd w:w="120" w:type="dxa"/>
      </w:tblPr>
      <w:tblGrid>
        <w:gridCol w:w="9360"/>
      </w:tblGrid>
      <w:tr>
        <w:tc>
          <w:tcPr>
            <w:tcW w:type="dxa" w:w="9360"/>
            <w:shd w:fill="F4F6F9"/>
            <w:tcMar>
              <w:top w:w="120" w:type="dxa"/>
              <w:start w:w="160" w:type="dxa"/>
              <w:bottom w:w="120" w:type="dxa"/>
              <w:end w:w="160" w:type="dxa"/>
            </w:tcMar>
            <w:vAlign w:val="center"/>
          </w:tcPr>
          <w:p>
            <w:r>
              <w:rPr>
                <w:rFonts w:ascii="Calibri" w:hAnsi="Calibri" w:eastAsia="Calibri"/>
                <w:b/>
                <w:color w:val="1F4D78"/>
                <w:sz w:val="22"/>
              </w:rPr>
              <w:t xml:space="preserve">Current position: </w:t>
            </w:r>
            <w:r>
              <w:rPr>
                <w:rFonts w:ascii="Calibri" w:hAnsi="Calibri" w:eastAsia="Calibri"/>
                <w:b w:val="0"/>
                <w:color w:val="222222"/>
                <w:sz w:val="22"/>
              </w:rPr>
              <w:t>Guaranteed Play has the bones of a strong backend draft intelligence system. Its edge is contextual decision-making, not just player ranking. The next serious step is to turn promising research into validated, frozen model components that can survive comparison against simple industry baselines.</w:t>
            </w:r>
          </w:p>
        </w:tc>
      </w:tr>
    </w:tbl>
    <w:p/>
    <w:p>
      <w:pPr>
        <w:pStyle w:val="Heading1"/>
      </w:pPr>
      <w:r>
        <w:rPr>
          <w:rFonts w:ascii="Calibri" w:hAnsi="Calibri" w:eastAsia="Calibri"/>
          <w:color w:val="2E74B5"/>
        </w:rPr>
        <w:t>Sources Used for Industry and Statistics Comparison</w:t>
      </w:r>
    </w:p>
    <w:p>
      <w:pPr>
        <w:pStyle w:val="ListBullet"/>
      </w:pPr>
      <w:r>
        <w:rPr>
          <w:rFonts w:ascii="Calibri" w:hAnsi="Calibri" w:eastAsia="Calibri"/>
          <w:b w:val="0"/>
          <w:color w:val="222222"/>
          <w:sz w:val="22"/>
        </w:rPr>
        <w:t>Fantasy football overview and draft concepts, including ADP and value-based drafting: https://en.wikipedia.org/wiki/Fantasy_football_(gridiron)</w:t>
      </w:r>
    </w:p>
    <w:p>
      <w:pPr>
        <w:pStyle w:val="ListBullet"/>
      </w:pPr>
      <w:r>
        <w:rPr>
          <w:rFonts w:ascii="Calibri" w:hAnsi="Calibri" w:eastAsia="Calibri"/>
          <w:b w:val="0"/>
          <w:color w:val="222222"/>
          <w:sz w:val="22"/>
        </w:rPr>
        <w:t>Scikit-learn model evaluation guidance, including proper metrics, Brier score, log loss, ROC AUC, and baseline estimators: https://scikit-learn.org/stable/modules/model_evaluation.html</w:t>
      </w:r>
    </w:p>
    <w:p>
      <w:pPr>
        <w:pStyle w:val="ListBullet"/>
      </w:pPr>
      <w:r>
        <w:rPr>
          <w:rFonts w:ascii="Calibri" w:hAnsi="Calibri" w:eastAsia="Calibri"/>
          <w:b w:val="0"/>
          <w:color w:val="222222"/>
          <w:sz w:val="22"/>
        </w:rPr>
        <w:t>Scikit-learn probability calibration guidance: https://scikit-learn.org/stable/modules/calibration.html</w:t>
      </w:r>
    </w:p>
    <w:p>
      <w:pPr>
        <w:pStyle w:val="ListBullet"/>
      </w:pPr>
      <w:r>
        <w:rPr>
          <w:rFonts w:ascii="Calibri" w:hAnsi="Calibri" w:eastAsia="Calibri"/>
          <w:b w:val="0"/>
          <w:color w:val="222222"/>
          <w:sz w:val="22"/>
        </w:rPr>
        <w:t>Scikit-learn cross-validation guidance: https://scikit-learn.org/stable/modules/cross_validation.html</w:t>
      </w:r>
    </w:p>
    <w:p>
      <w:pPr>
        <w:pStyle w:val="ListBullet"/>
      </w:pPr>
      <w:r>
        <w:rPr>
          <w:rFonts w:ascii="Calibri" w:hAnsi="Calibri" w:eastAsia="Calibri"/>
          <w:b w:val="0"/>
          <w:color w:val="222222"/>
          <w:sz w:val="22"/>
        </w:rPr>
        <w:t>Dynamic fantasy roster/value modeling research: https://arxiv.org/abs/2409.09884</w:t>
      </w:r>
    </w:p>
    <w:p>
      <w:pPr>
        <w:pStyle w:val="ListBullet"/>
      </w:pPr>
      <w:r>
        <w:rPr>
          <w:rFonts w:ascii="Calibri" w:hAnsi="Calibri" w:eastAsia="Calibri"/>
          <w:b w:val="0"/>
          <w:color w:val="222222"/>
          <w:sz w:val="22"/>
        </w:rPr>
        <w:t>Fantasy sports optimization research using predictive modeling, robust optimization, and Monte Carlo simulation: https://arxiv.org/abs/2505.02170</w:t>
      </w:r>
    </w:p>
    <w:p>
      <w:pPr>
        <w:pStyle w:val="ListBullet"/>
      </w:pPr>
      <w:r>
        <w:rPr>
          <w:rFonts w:ascii="Calibri" w:hAnsi="Calibri" w:eastAsia="Calibri"/>
          <w:b w:val="0"/>
          <w:color w:val="222222"/>
          <w:sz w:val="22"/>
        </w:rPr>
        <w:t>Model evaluation caution around AUC and the need for threshold/base-rate context: https://arxiv.org/abs/2305.18159</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95959"/>
        <w:sz w:val="18"/>
      </w:rPr>
      <w:t>Guaranteed Play backend model update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