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/>
          <w:sz w:val="32"/>
        </w:rPr>
        <w:t>实验方案_v3:TFPT + 2569674-64-0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方案编号:COF-TFPT-2026-07-11-443922-06-3_2569674-64-0-v3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生成日期:2026-07-11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迭代依据:COF-TAPT-2026-06-24-C-v1</w:t>
      </w:r>
    </w:p>
    <w:p/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0. 元信息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方案编号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COF-TFPT-2026-07-11-443922-06-3_2569674-64-0-v3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v3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生成日期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2026-07-11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迭代依据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COF-TAPT-2026-06-24-C-v1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节点前缀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TFPT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醛单体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TFPT (CAS 443922-06-3)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胺单体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2569674-64-0 (CAS 2569674-64-0)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试剂状态 (醛)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已买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试剂状态 (胺)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已买</w:t>
            </w:r>
          </w:p>
        </w:tc>
      </w:tr>
    </w:tbl>
    <w:p>
      <w:r>
        <w:br w:type="page"/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1. 单体结构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醛单体 TFPT: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7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3922-06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CAS: 443922-06-3    MW: 393.40</w:t>
      </w:r>
    </w:p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胺单体 2569674-64-0: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54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69674-64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5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CAS: 2569674-64-0    MW: 718.34</w:t>
      </w:r>
    </w:p>
    <w:p>
      <w:r>
        <w:br w:type="page"/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2. 研究背景与科学问题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本方案基于历史失败 COF-TAPT-2026-06-24-C-v1 的迭代改进。</w:t>
        <w:br/>
        <w:br/>
        <w:t>原失败:液面白色糊状薄膜(48h)连续;黄褐色固体颗粒;底部乳白色沉淀;离心得白色粉末;静电效应大;未做 XRD 但 MS 预测了其 XRD</w:t>
        <w:br/>
        <w:br/>
        <w:t>原 Class:C</w:t>
        <w:br/>
        <w:t>原类型:操作+单体</w:t>
        <w:br/>
        <w:br/>
        <w:t>本方案要回答的科学问题:</w:t>
        <w:br/>
        <w:t>- TFPT 三嗪醛 + 该胺体系的成膜条件窗口是什么?</w:t>
      </w:r>
    </w:p>
    <w:p>
      <w:r>
        <w:br w:type="page"/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3. 关联历史失败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▌本次迭代的直接相似案例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失败 ID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COF-TAPT-2026-06-24-C-v1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醛 CAS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443922-06-3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胺 CAS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2569674-64-0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失败 Class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根因 Type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操作+单体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置信度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低(外推)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处置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模型盲区特例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引用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[本地: experiment/feedback_db.csv, 行 COF-TAPT-2026-06-24-C-v1]</w:t>
            </w:r>
          </w:p>
        </w:tc>
      </w:tr>
    </w:tbl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8"/>
        </w:rPr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▌RAG 检索到的其他相关失败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COF-TAPT-2026-06-24-D-v1 | 醛+胺: 443922-06-3+341-58-2 | Class E | 现象: 液面上方白色固体 0.2cm(48h)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COF-TAPT-2026-06-25-F-v1 | 醛+胺: 443922-06-3+1038-66-0 | Class A | 现象: 液面无固体产出;TFPT+苯胺部分溶解有沉淀;仅浑浊</w:t>
      </w:r>
    </w:p>
    <w:p>
      <w:r>
        <w:br w:type="page"/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4. 实验设计与分组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本方案建议做以下对照实验组(每个实验组对应一个科学问题):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实验编号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固定条件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科学问题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阳性对照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胺 =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本体系基线可行性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AMCOF-1: TFPT + BD-CF3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G1-S2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胺 =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延长反应时间 72h → 96h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G1-S3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胺 =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8.2 μL → 13.7 μL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</w:tr>
    </w:tbl>
    <w:p>
      <w:r>
        <w:br w:type="page"/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5. 通用实验流程 (10 步模板)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sz w:val="21"/>
        </w:rPr>
        <w:t>以下流程可复用,仅各组具体参数差异化。</w:t>
      </w:r>
    </w:p>
    <w:p>
      <w:r>
        <w:rPr>
          <w:rFonts w:ascii="Times New Roman" w:hAnsi="Times New Roman" w:eastAsia="宋体"/>
          <w:b/>
          <w:sz w:val="20"/>
        </w:rPr>
        <w:t xml:space="preserve">步骤 1  </w:t>
      </w:r>
      <w:r>
        <w:rPr>
          <w:rFonts w:ascii="Times New Roman" w:hAnsi="Times New Roman" w:eastAsia="宋体"/>
          <w:b/>
          <w:sz w:val="20"/>
        </w:rPr>
        <w:t>Pyrex 管准备</w:t>
        <w:br/>
      </w:r>
      <w:r>
        <w:rPr>
          <w:rFonts w:ascii="Times New Roman" w:hAnsi="Times New Roman" w:eastAsia="宋体"/>
          <w:sz w:val="18"/>
        </w:rPr>
        <w:t xml:space="preserve">  35 mL Pyrex 玻璃管依次用丙酮、乙醇、去离子水超声清洗各 10 min,120°C 干燥备用。</w:t>
      </w:r>
    </w:p>
    <w:p>
      <w:r>
        <w:rPr>
          <w:rFonts w:ascii="Times New Roman" w:hAnsi="Times New Roman" w:eastAsia="宋体"/>
          <w:b/>
          <w:sz w:val="20"/>
        </w:rPr>
        <w:t xml:space="preserve">步骤 2  </w:t>
      </w:r>
      <w:r>
        <w:rPr>
          <w:rFonts w:ascii="Times New Roman" w:hAnsi="Times New Roman" w:eastAsia="宋体"/>
          <w:b/>
          <w:sz w:val="20"/>
        </w:rPr>
        <w:t>投料:醛基单体 + 苯胺</w:t>
        <w:br/>
      </w:r>
      <w:r>
        <w:rPr>
          <w:rFonts w:ascii="Times New Roman" w:hAnsi="Times New Roman" w:eastAsia="宋体"/>
          <w:sz w:val="18"/>
        </w:rPr>
        <w:t xml:space="preserve">  向 Pyrex 管中依次加入醛基单体(TFPT)、溶剂甲苯 + 氯仿、苯胺(按醛基当量 1:1)。【单次连续加原则】苯胺与醛基同步溶解,立即进入步骤 3。</w:t>
      </w:r>
    </w:p>
    <w:p>
      <w:r>
        <w:rPr>
          <w:rFonts w:ascii="Times New Roman" w:hAnsi="Times New Roman" w:eastAsia="宋体"/>
          <w:b/>
          <w:sz w:val="20"/>
        </w:rPr>
        <w:t xml:space="preserve">步骤 3  </w:t>
      </w:r>
      <w:r>
        <w:rPr>
          <w:rFonts w:ascii="Times New Roman" w:hAnsi="Times New Roman" w:eastAsia="宋体"/>
          <w:b/>
          <w:sz w:val="20"/>
        </w:rPr>
        <w:t>立即加入胺基单体(不间隔)</w:t>
        <w:br/>
      </w:r>
      <w:r>
        <w:rPr>
          <w:rFonts w:ascii="Times New Roman" w:hAnsi="Times New Roman" w:eastAsia="宋体"/>
          <w:sz w:val="18"/>
        </w:rPr>
        <w:t xml:space="preserve">  将含胺基的单体(2569674-64-0)溶解于氯仿中,超声 5 min 后立即加入步骤 2 的混合液中。【关键】加入胺单体后不超过 5 min 必须进入步骤 4 加酸--避免长时间停留导致苯胺-醛亚胺中间体被胺交换取代不完全。</w:t>
      </w:r>
    </w:p>
    <w:p>
      <w:r>
        <w:rPr>
          <w:rFonts w:ascii="Times New Roman" w:hAnsi="Times New Roman" w:eastAsia="宋体"/>
          <w:b/>
          <w:sz w:val="20"/>
        </w:rPr>
        <w:t xml:space="preserve">步骤 4  </w:t>
      </w:r>
      <w:r>
        <w:rPr>
          <w:rFonts w:ascii="Times New Roman" w:hAnsi="Times New Roman" w:eastAsia="宋体"/>
          <w:b/>
          <w:sz w:val="20"/>
        </w:rPr>
        <w:t>最后加入乙酸催化剂</w:t>
        <w:br/>
      </w:r>
      <w:r>
        <w:rPr>
          <w:rFonts w:ascii="Times New Roman" w:hAnsi="Times New Roman" w:eastAsia="宋体"/>
          <w:sz w:val="18"/>
        </w:rPr>
        <w:t xml:space="preserve">  沿管壁缓慢加入 6.0 M 乙酸水溶液(0.20 mL,单点一次性加入)。【禁 序】乙酸必须最后加,先加乙酸会引发醛胺直接不可逆反应破坏可控性。</w:t>
      </w:r>
    </w:p>
    <w:p>
      <w:r>
        <w:rPr>
          <w:rFonts w:ascii="Times New Roman" w:hAnsi="Times New Roman" w:eastAsia="宋体"/>
          <w:b/>
          <w:sz w:val="20"/>
        </w:rPr>
        <w:t xml:space="preserve">步骤 5  </w:t>
      </w:r>
      <w:r>
        <w:rPr>
          <w:rFonts w:ascii="Times New Roman" w:hAnsi="Times New Roman" w:eastAsia="宋体"/>
          <w:b/>
          <w:sz w:val="20"/>
        </w:rPr>
        <w:t>超声混合</w:t>
        <w:br/>
      </w:r>
      <w:r>
        <w:rPr>
          <w:rFonts w:ascii="Times New Roman" w:hAnsi="Times New Roman" w:eastAsia="宋体"/>
          <w:sz w:val="18"/>
        </w:rPr>
        <w:t xml:space="preserve">  混合物超声 10-15 min 至完全溶解或均匀分散。</w:t>
      </w:r>
    </w:p>
    <w:p>
      <w:r>
        <w:rPr>
          <w:rFonts w:ascii="Times New Roman" w:hAnsi="Times New Roman" w:eastAsia="宋体"/>
          <w:b/>
          <w:sz w:val="20"/>
        </w:rPr>
        <w:t xml:space="preserve">步骤 6  </w:t>
      </w:r>
      <w:r>
        <w:rPr>
          <w:rFonts w:ascii="Times New Roman" w:hAnsi="Times New Roman" w:eastAsia="宋体"/>
          <w:b/>
          <w:sz w:val="20"/>
        </w:rPr>
        <w:t>密封与加热</w:t>
        <w:br/>
      </w:r>
      <w:r>
        <w:rPr>
          <w:rFonts w:ascii="Times New Roman" w:hAnsi="Times New Roman" w:eastAsia="宋体"/>
          <w:sz w:val="18"/>
        </w:rPr>
        <w:t xml:space="preserve">  PTFE 内衬螺旋盖密封,置于预设温度的油浴中静置反应。</w:t>
      </w:r>
    </w:p>
    <w:p>
      <w:r>
        <w:rPr>
          <w:rFonts w:ascii="Times New Roman" w:hAnsi="Times New Roman" w:eastAsia="宋体"/>
          <w:b/>
          <w:sz w:val="20"/>
        </w:rPr>
        <w:t xml:space="preserve">步骤 7  </w:t>
      </w:r>
      <w:r>
        <w:rPr>
          <w:rFonts w:ascii="Times New Roman" w:hAnsi="Times New Roman" w:eastAsia="宋体"/>
          <w:b/>
          <w:sz w:val="20"/>
        </w:rPr>
        <w:t>反应监测</w:t>
        <w:br/>
      </w:r>
      <w:r>
        <w:rPr>
          <w:rFonts w:ascii="Times New Roman" w:hAnsi="Times New Roman" w:eastAsia="宋体"/>
          <w:sz w:val="18"/>
        </w:rPr>
        <w:t xml:space="preserve">  定期观察玻璃管内壁液面以上区域是否有薄膜形成,记录膜颜色和形态变化。</w:t>
      </w:r>
    </w:p>
    <w:p>
      <w:r>
        <w:rPr>
          <w:rFonts w:ascii="Times New Roman" w:hAnsi="Times New Roman" w:eastAsia="宋体"/>
          <w:b/>
          <w:sz w:val="20"/>
        </w:rPr>
        <w:t xml:space="preserve">步骤 8  </w:t>
      </w:r>
      <w:r>
        <w:rPr>
          <w:rFonts w:ascii="Times New Roman" w:hAnsi="Times New Roman" w:eastAsia="宋体"/>
          <w:b/>
          <w:sz w:val="20"/>
        </w:rPr>
        <w:t>膜收集</w:t>
        <w:br/>
      </w:r>
      <w:r>
        <w:rPr>
          <w:rFonts w:ascii="Times New Roman" w:hAnsi="Times New Roman" w:eastAsia="宋体"/>
          <w:sz w:val="18"/>
        </w:rPr>
        <w:t xml:space="preserve">  反应结束后冷却至室温,用金属刮刀小心将玻璃壁上的薄膜剥离。</w:t>
      </w:r>
    </w:p>
    <w:p>
      <w:r>
        <w:rPr>
          <w:rFonts w:ascii="Times New Roman" w:hAnsi="Times New Roman" w:eastAsia="宋体"/>
          <w:b/>
          <w:sz w:val="20"/>
        </w:rPr>
        <w:t xml:space="preserve">步骤 9  </w:t>
      </w:r>
      <w:r>
        <w:rPr>
          <w:rFonts w:ascii="Times New Roman" w:hAnsi="Times New Roman" w:eastAsia="宋体"/>
          <w:b/>
          <w:sz w:val="20"/>
        </w:rPr>
        <w:t>洗涤</w:t>
        <w:br/>
      </w:r>
      <w:r>
        <w:rPr>
          <w:rFonts w:ascii="Times New Roman" w:hAnsi="Times New Roman" w:eastAsia="宋体"/>
          <w:sz w:val="18"/>
        </w:rPr>
        <w:t xml:space="preserve">  依次用丙酮和四氢呋喃(THF)洗涤膜样品各 3 次,去除未反应单体和低聚物。</w:t>
      </w:r>
    </w:p>
    <w:p>
      <w:r>
        <w:rPr>
          <w:rFonts w:ascii="Times New Roman" w:hAnsi="Times New Roman" w:eastAsia="宋体"/>
          <w:b/>
          <w:sz w:val="20"/>
        </w:rPr>
        <w:t xml:space="preserve">步骤 10  </w:t>
      </w:r>
      <w:r>
        <w:rPr>
          <w:rFonts w:ascii="Times New Roman" w:hAnsi="Times New Roman" w:eastAsia="宋体"/>
          <w:b/>
          <w:sz w:val="20"/>
        </w:rPr>
        <w:t>干燥与称量</w:t>
        <w:br/>
      </w:r>
      <w:r>
        <w:rPr>
          <w:rFonts w:ascii="Times New Roman" w:hAnsi="Times New Roman" w:eastAsia="宋体"/>
          <w:sz w:val="18"/>
        </w:rPr>
        <w:t xml:space="preserve">  室温自然干燥(或 60°C 真空干燥过夜),称量膜质量并计算分离产率。</w:t>
      </w:r>
    </w:p>
    <w:p>
      <w:r>
        <w:br w:type="page"/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6. 各组详细方案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单体组合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温度/时间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溶剂体系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苯胺 / 乙酸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G1-S1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TFPT +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72h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/ 6.0M HOAc 0.20 mL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G1-S2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TFPT +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96h (延长)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/ 6.0M HOAc 0.20 mL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G1-S3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TFPT +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72h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(提高) / 6.0M HOAc 0.20 mL</w:t>
            </w:r>
          </w:p>
        </w:tc>
      </w:tr>
    </w:tbl>
    <w:p>
      <w:r>
        <w:br w:type="page"/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7. 关键参数说明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溶剂选择原则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基于侯老师机理,溶剂需 (I) 低沸点快速蒸发形成超饱和液层;(II) 良好玻璃润湿性;(III) 对单体的充分溶解能力。甲苯(bp 110.6°C)提供润湿性;氯仿(bp 61.2°C)提供高挥发性。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苯胺调制量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苯胺通过可逆反应封端醛基活性位点,增强可逆性促进"错误校验"和自我修复。苯胺:-CHO = 1:1(本体系对 TFPT 三醛节点即 3 eq)。若反应活性偏低,优先通过延长时间/调整溶剂/催化剂解决,而非增加苯胺--4-5 eq 时 fwhm 增大、膜质量下降。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乙酸催化剂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6.0 M 乙酸水溶液提供适宜 pH 催化席夫碱缩合。乙酸 pKa 与苯胺匹配,既能催化又能维持可逆性。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8. 失败排查与修正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0"/>
        </w:rPr>
        <w:t>针对历史失败 COF-TAPT-2026-06-24-C-v1 (Class C) 的根因,本次方案预设了对应修正: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模型盲区特例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8"/>
        </w:rPr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▌本方案预设的失败应对(来自 failure_playbook)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A1 类(自反应法)失败模式 α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若 72h 膜不连续 → 缩短自反应时间 12h → 6h;或加醛前降温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A 类（操作错）失败模式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严格按加料顺序：醛+苯胺 → 立即胺 → 最后乙酸；乙酸用 6.0M 而非 18M；苯胺按醛当量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C 类(粉红色油状物)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加酸分两次(0.3 + 0.3 mL 间隔 1h);或将乙酸降到 3.0 M</w:t>
      </w:r>
    </w:p>
    <w:p>
      <w:r>
        <w:br w:type="page"/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9. 表征方案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表征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目的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关键判定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PXRD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评估膜结晶度(fwhm100)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对照 AMCOF-1, 目标 fwhm ≤ 0.16°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SEM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膜表面形貌与连续性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气相侧/玻璃侧差异;连续覆盖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AFM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膜厚测量多点取样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涂覆区域是否均匀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FT-IR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亚胺键 C=N ~1631 cm-1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确认醛基消耗完全度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BET (N2, 77K)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比表面积和孔径分布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&gt; 800 m2/g 为佳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10. RAG 检索结果(生成时刻快照)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6"/>
        </w:rPr>
        <w:t>## 历史反馈匹配</w:t>
        <w:br/>
        <w:t>- COF-TAPT-2026-06-24-C-v1 | 单体对 443922-06-3 + 2569674-64-0 | Class C | tianxuan 0.040 | 现象: 液面白色糊状薄膜(48h)连续;黄褐色固体颗粒;底部乳白色沉淀;离心得白色粉末;静电效应大;未做 XRD 但 MS 预测了其 XRD</w:t>
        <w:br/>
        <w:t>- COF-TAPT-2026-06-24-D-v1 | 单体对 443922-06-3 + 341-58-2 | Class E | tianxuan 0.596 | 现象: 液面上方白色固体 0.2cm(48h)</w:t>
        <w:br/>
        <w:t>- COF-TAPT-2026-06-25-F-v1 | 单体对 443922-06-3 + 1038-66-0 | Class A | tianxuan 0.486 | 现象: 液面无固体产出;TFPT+苯胺部分溶解有沉淀;仅浑浊</w:t>
      </w:r>
    </w:p>
    <w:p>
      <w:r>
        <w:br w:type="page"/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11. 参考文献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侯盛怀等, Angew. Chem. Int. Ed. 2025, 64, e202421555 (扩散/调制剂双介导固-液/气三相界面合成)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[本地: 实验/文章/侯老师实验/侯盛怀德国应化.pdf]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[本地: experiment/feedback_db.csv, 行 COF-TAPT-2026-06-24-C-v1]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本方案基于 v3.9 实验方案_含氟COF薄膜合成_v3.9_20260626.docx 模板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