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 成膜实验方案报告</w:t>
      </w:r>
    </w:p>
    <w:p>
      <w:pPr>
        <w:pStyle w:val="Heading1"/>
      </w:pPr>
      <w:r>
        <w:t>1. 单体信息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醛单体 SMILES</w:t>
            </w:r>
          </w:p>
        </w:tc>
        <w:tc>
          <w:tcPr>
            <w:tcW w:type="dxa" w:w="4320"/>
          </w:tcPr>
          <w:p>
            <w:r>
              <w:t>O=CC1=C(C=O)C(=O)C(C=O)=C1O</w:t>
            </w:r>
          </w:p>
        </w:tc>
      </w:tr>
      <w:tr>
        <w:tc>
          <w:tcPr>
            <w:tcW w:type="dxa" w:w="4320"/>
          </w:tcPr>
          <w:p>
            <w:r>
              <w:t>胺单体 SMILES</w:t>
            </w:r>
          </w:p>
        </w:tc>
        <w:tc>
          <w:tcPr>
            <w:tcW w:type="dxa" w:w="4320"/>
          </w:tcPr>
          <w:p>
            <w:r>
              <w:t>Nc1ccc(N)cc1</w:t>
            </w:r>
          </w:p>
        </w:tc>
      </w:tr>
    </w:tbl>
    <w:p>
      <w:r>
        <w:t>醛单体结构图：</w:t>
      </w:r>
    </w:p>
    <w:p>
      <w:r>
        <w:drawing>
          <wp:inline xmlns:a="http://schemas.openxmlformats.org/drawingml/2006/main" xmlns:pic="http://schemas.openxmlformats.org/drawingml/2006/picture">
            <wp:extent cx="2560320" cy="170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mol_rkfb274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胺单体结构图：</w:t>
      </w:r>
    </w:p>
    <w:p>
      <w:r>
        <w:drawing>
          <wp:inline xmlns:a="http://schemas.openxmlformats.org/drawingml/2006/main" xmlns:pic="http://schemas.openxmlformats.org/drawingml/2006/picture">
            <wp:extent cx="2560320" cy="1706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mol__d9ary1_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成膜打分（倾向性）</w:t>
      </w:r>
    </w:p>
    <w:p>
      <w:r>
        <w:t>说明：四级软标签上的倾向性打分，非严格概率；对反应条件不敏感。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成膜打分（倾向性）</w:t>
            </w:r>
          </w:p>
        </w:tc>
      </w:tr>
      <w:tr>
        <w:tc>
          <w:tcPr>
            <w:tcW w:type="dxa" w:w="4320"/>
          </w:tcPr>
          <w:p>
            <w:r>
              <w:t>GNN v5.3</w:t>
            </w:r>
          </w:p>
        </w:tc>
        <w:tc>
          <w:tcPr>
            <w:tcW w:type="dxa" w:w="4320"/>
          </w:tcPr>
          <w:p>
            <w:r>
              <w:t>0.92</w:t>
            </w:r>
          </w:p>
        </w:tc>
      </w:tr>
      <w:tr>
        <w:tc>
          <w:tcPr>
            <w:tcW w:type="dxa" w:w="4320"/>
          </w:tcPr>
          <w:p>
            <w:r>
              <w:t>树模型（bagging 集成）</w:t>
            </w:r>
          </w:p>
        </w:tc>
        <w:tc>
          <w:tcPr>
            <w:tcW w:type="dxa" w:w="4320"/>
          </w:tcPr>
          <w:p>
            <w:r>
              <w:t>0.85</w:t>
            </w:r>
          </w:p>
        </w:tc>
      </w:tr>
      <w:tr>
        <w:tc>
          <w:tcPr>
            <w:tcW w:type="dxa" w:w="4320"/>
          </w:tcPr>
          <w:p>
            <w:r>
              <w:t>综合打分</w:t>
            </w:r>
          </w:p>
        </w:tc>
        <w:tc>
          <w:tcPr>
            <w:tcW w:type="dxa" w:w="4320"/>
          </w:tcPr>
          <w:p>
            <w:r>
              <w:t>0.885</w:t>
            </w:r>
          </w:p>
        </w:tc>
      </w:tr>
    </w:tbl>
    <w:p>
      <w:pPr>
        <w:pStyle w:val="Heading1"/>
      </w:pPr>
      <w:r>
        <w:t>3. 推荐实验条件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合成方法</w:t>
            </w:r>
          </w:p>
        </w:tc>
        <w:tc>
          <w:tcPr>
            <w:tcW w:type="dxa" w:w="4320"/>
          </w:tcPr>
          <w:p>
            <w:r>
              <w:t>溶剂热法</w:t>
            </w:r>
          </w:p>
        </w:tc>
      </w:tr>
      <w:tr>
        <w:tc>
          <w:tcPr>
            <w:tcW w:type="dxa" w:w="4320"/>
          </w:tcPr>
          <w:p>
            <w:r>
              <w:t>溶剂体系</w:t>
            </w:r>
          </w:p>
        </w:tc>
        <w:tc>
          <w:tcPr>
            <w:tcW w:type="dxa" w:w="4320"/>
          </w:tcPr>
          <w:p>
            <w:r>
              <w:t>均三甲苯 / 二氧六环 (1:1)</w:t>
            </w:r>
          </w:p>
        </w:tc>
      </w:tr>
      <w:tr>
        <w:tc>
          <w:tcPr>
            <w:tcW w:type="dxa" w:w="4320"/>
          </w:tcPr>
          <w:p>
            <w:r>
              <w:t>溶剂比例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反应温度</w:t>
            </w:r>
          </w:p>
        </w:tc>
        <w:tc>
          <w:tcPr>
            <w:tcW w:type="dxa" w:w="4320"/>
          </w:tcPr>
          <w:p>
            <w:r>
              <w:t>120 °C</w:t>
            </w:r>
          </w:p>
        </w:tc>
      </w:tr>
      <w:tr>
        <w:tc>
          <w:tcPr>
            <w:tcW w:type="dxa" w:w="4320"/>
          </w:tcPr>
          <w:p>
            <w:r>
              <w:t>反应时间</w:t>
            </w:r>
          </w:p>
        </w:tc>
        <w:tc>
          <w:tcPr>
            <w:tcW w:type="dxa" w:w="4320"/>
          </w:tcPr>
          <w:p>
            <w:r>
              <w:t>3 天</w:t>
            </w:r>
          </w:p>
        </w:tc>
      </w:tr>
      <w:tr>
        <w:tc>
          <w:tcPr>
            <w:tcW w:type="dxa" w:w="4320"/>
          </w:tcPr>
          <w:p>
            <w:r>
              <w:t>催化剂</w:t>
            </w:r>
          </w:p>
        </w:tc>
        <w:tc>
          <w:tcPr>
            <w:tcW w:type="dxa" w:w="4320"/>
          </w:tcPr>
          <w:p>
            <w:r>
              <w:t>乙酸 (6.0 M)</w:t>
            </w:r>
          </w:p>
        </w:tc>
      </w:tr>
      <w:tr>
        <w:tc>
          <w:tcPr>
            <w:tcW w:type="dxa" w:w="4320"/>
          </w:tcPr>
          <w:p>
            <w:r>
              <w:t>当量比</w:t>
            </w:r>
          </w:p>
        </w:tc>
        <w:tc>
          <w:tcPr>
            <w:tcW w:type="dxa" w:w="4320"/>
          </w:tcPr>
          <w:p>
            <w:r>
              <w:t>1:1 (醛:胺)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C3+C2 拓扑适合形成 2D COF 网络，溶剂热条件利于结晶。</w:t>
            </w:r>
          </w:p>
        </w:tc>
      </w:tr>
    </w:tbl>
    <w:p>
      <w:pPr>
        <w:pStyle w:val="Heading1"/>
      </w:pPr>
      <w:r>
        <w:t>4. 相似历史案例</w:t>
      </w:r>
    </w:p>
    <w:p>
      <w:r>
        <w:t>匹配案例：TAPT + CF3 二醛 （ID: G1）</w:t>
        <w:br/>
        <w:t>相似度：0.00</w:t>
        <w:br/>
        <w:t>案例备注：CF3 二醛与 TAPT 形成疏水 COF 膜，需苯胺调制。</w:t>
      </w:r>
    </w:p>
    <w:p>
      <w:pPr>
        <w:pStyle w:val="Heading1"/>
      </w:pPr>
      <w:r>
        <w:t>5. 风险提示</w:t>
      </w:r>
    </w:p>
    <w:p>
      <w:r>
        <w:t>1. 本报告由机器学习模型和规则引擎生成，仅供参考。</w:t>
        <w:br/>
        <w:t>2. 成膜概率受单体纯度、反应条件、操作细节等多因素影响。</w:t>
        <w:br/>
        <w:t>3. 建议先做小试验证膜连续性，再放大。</w:t>
        <w:br/>
        <w:t>4. 含 F/CF3 单体疏水性强，需特别注意溶剂溶解度和界面稳定性。</w:t>
      </w:r>
    </w:p>
    <w:p>
      <w:pPr>
        <w:pStyle w:val="Heading1"/>
      </w:pPr>
      <w:r>
        <w:t>6. 单体拓扑分类</w:t>
      </w:r>
    </w:p>
    <w:p>
      <w:r>
        <w:t>拓扑类型：C4+C2</w:t>
        <w:br/>
        <w:t>含氟/CF3：否</w:t>
        <w:br/>
        <w:t>醛反应位点数：4</w:t>
        <w:br/>
        <w:t>胺反应位点数：2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