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EE735C"/>
        </w:rPr>
        <w:t>PARCOURS 01  /  14</w:t>
      </w:r>
    </w:p>
    <w:p>
      <w:pPr>
        <w:pStyle w:val="Title"/>
      </w:pPr>
      <w:r>
        <w:t>Guide didactique pas à pas</w:t>
      </w:r>
    </w:p>
    <w:p>
      <w:r>
        <w:t>Installer, explorer et vérifier l’observatoire multiagents de contenu numérique.</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1</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OBJECTIF</w:t>
            </w:r>
          </w:p>
          <w:p>
            <w:pPr>
              <w:spacing w:after="100"/>
            </w:pPr>
            <w:r>
              <w:t>Reproduire une démonstration avec les fichiers fictifs fournis, puis préparer correctement ses propres données YouTube.</w:t>
            </w:r>
          </w:p>
          <w:p>
            <w:pPr>
              <w:spacing w:after="100"/>
            </w:pPr>
            <w:r>
              <w:t>Commencer par les calculs sans IA. Les agents, la campagne évaluée et AgentOps viennent ensuite.</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2</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MATÉRIEL</w:t>
            </w:r>
          </w:p>
          <w:p>
            <w:pPr>
              <w:spacing w:after="100"/>
            </w:pPr>
            <w:r>
              <w:t>Un ordinateur Windows, Python 3.12, le ZIP du projet et un navigateur. Internet est nécessaire pour installer les dépendances et télécharger le modèle.</w:t>
            </w:r>
          </w:p>
          <w:p>
            <w:pPr>
              <w:spacing w:after="100"/>
            </w:pPr>
            <w:r>
              <w:t>Pour l’IA : Ollama et Qwen3 4B, avec assez de mémoire et d’espace disque. Le modèle n’est pas inclus dans le ZIP. Les besoins et la vitesse dépendent du poste.</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3</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VOTRE ITINÉRAIRE</w:t>
            </w:r>
          </w:p>
          <w:p>
            <w:pPr>
              <w:spacing w:after="100"/>
            </w:pPr>
            <w:r>
              <w:t>Pages 2 et 3 : installer et démarrer. Pages 4 à 7 : choisir les fichiers et comparer les vidéos.</w:t>
            </w:r>
          </w:p>
          <w:p>
            <w:pPr>
              <w:spacing w:after="100"/>
            </w:pPr>
            <w:r>
              <w:t>Page 8 : lancer les agents. Page 9 : passer à de vraies données et préparer la campagne. Page 10 : comprendre AgentOps. Page 11 : vérifier et résoudre les difficultés. Pages 12 à 14 : versions, spécifications et références.</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4</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CE QUI EST RÉELLEMENT LIVRÉ</w:t>
            </w:r>
          </w:p>
          <w:p>
            <w:pPr>
              <w:spacing w:after="100"/>
            </w:pPr>
            <w:r>
              <w:t>Code, exemples fictifs, tests, rapport et présentation. Les 20 essais historiques sont analysés dans le rapport.</w:t>
            </w:r>
          </w:p>
          <w:p>
            <w:pPr>
              <w:spacing w:after="100"/>
            </w:pPr>
            <w:r>
              <w:t>Les CSV réels, les bases privées, les clés, l’environnement Python et le modèle Ollama ne sont pas distribués. Une installation neuve n’affiche donc pas automatiquement la campagne historique.</w:t>
            </w:r>
          </w:p>
        </w:tc>
      </w:tr>
    </w:tbl>
    <w:p>
      <w:pPr>
        <w:spacing w:after="140" w:line="20" w:lineRule="exact"/>
      </w:pPr>
      <w:r>
        <w:rPr>
          <w:sz w:val="2"/>
        </w:rPr>
        <w:t xml:space="preserve"> </w:t>
      </w:r>
    </w:p>
    <w:p>
      <w:r>
        <w:br w:type="page"/>
      </w:r>
    </w:p>
    <w:p>
      <w:r>
        <w:rPr>
          <w:color w:val="EE735C"/>
        </w:rPr>
        <w:t>PARCOURS 02  /  14</w:t>
      </w:r>
    </w:p>
    <w:p>
      <w:pPr>
        <w:pStyle w:val="Heading1"/>
      </w:pPr>
      <w:r>
        <w:t>Installer et ouvrir l’application</w:t>
      </w:r>
    </w:p>
    <w:p>
      <w:r>
        <w:t>Première réussite attendue : afficher l’interface dans le navigateur, sans utiliser de modèle.</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1</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PRÉPARER LE DOSSIER</w:t>
            </w:r>
          </w:p>
          <w:p>
            <w:pPr>
              <w:spacing w:after="100"/>
            </w:pPr>
            <w:r>
              <w:t>Extraire tout le ZIP dans Documents, dans un dossier nommé TP_Observatoire. Vérifier que app.py, requirements.txt et le dossier data sont directement à cet endroit.</w:t>
            </w:r>
          </w:p>
          <w:p>
            <w:pPr>
              <w:spacing w:after="100"/>
            </w:pPr>
            <w:r>
              <w:t>Installer Python 3.12 depuis python.org si nécessaire. Ouvrir un nouveau PowerShell ; exécuter les commandes une par une.</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2</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CRÉER VOTRE ENVIRONNEMENT</w:t>
            </w:r>
          </w:p>
          <w:p>
            <w:pPr>
              <w:spacing w:after="100"/>
            </w:pPr>
            <w:r>
              <w:rPr>
                <w:rFonts w:ascii="Consolas" w:hAnsi="Consolas"/>
                <w:sz w:val="20"/>
              </w:rPr>
              <w:t>Set-Location "$env:USERPROFILE\Documents\TP_Observatoire"</w:t>
            </w:r>
          </w:p>
          <w:p>
            <w:pPr>
              <w:spacing w:after="100"/>
            </w:pPr>
            <w:r>
              <w:rPr>
                <w:rFonts w:ascii="Consolas" w:hAnsi="Consolas"/>
                <w:sz w:val="20"/>
              </w:rPr>
              <w:t>py -3.12 --version</w:t>
            </w:r>
          </w:p>
          <w:p>
            <w:pPr>
              <w:spacing w:after="100"/>
            </w:pPr>
            <w:r>
              <w:rPr>
                <w:rFonts w:ascii="Consolas" w:hAnsi="Consolas"/>
                <w:sz w:val="20"/>
              </w:rPr>
              <w:t>py -3.12 -m venv .venv</w:t>
            </w:r>
          </w:p>
          <w:p>
            <w:pPr>
              <w:spacing w:after="100"/>
            </w:pPr>
            <w:r>
              <w:rPr>
                <w:rFonts w:ascii="Consolas" w:hAnsi="Consolas"/>
                <w:sz w:val="20"/>
              </w:rPr>
              <w:t>.\.venv\Scripts\python.exe -m pip install -r requirements.txt</w:t>
            </w:r>
          </w:p>
          <w:p>
            <w:pPr>
              <w:spacing w:after="100"/>
            </w:pPr>
            <w:r>
              <w:t>Attendre le retour de l’invite PowerShell après l’installation. Si py est introuvable, vérifier l’installation de Python ; ne pas remplacer les commandes au hasard.</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3</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OUVRIR ET VÉRIFIER</w:t>
            </w:r>
          </w:p>
          <w:p>
            <w:pPr>
              <w:spacing w:after="100"/>
            </w:pPr>
            <w:r>
              <w:rPr>
                <w:rFonts w:ascii="Consolas" w:hAnsi="Consolas"/>
                <w:sz w:val="20"/>
              </w:rPr>
              <w:t>.\.venv\Scripts\python.exe -m streamlit run app.py</w:t>
            </w:r>
          </w:p>
          <w:p>
            <w:pPr>
              <w:spacing w:after="100"/>
            </w:pPr>
            <w:r>
              <w:t>Ouvrir http://127.0.0.1:8501 et garder le terminal ouvert. Dans Audience par pays, cliquer sur Charger et vérifier pour les exemples initiaux.</w:t>
            </w:r>
          </w:p>
          <w:p>
            <w:pPr>
              <w:spacing w:after="100"/>
            </w:pPr>
            <w:r>
              <w:t>Contrôle : le tableau d’audience s’affiche. Aucun appel IA n’est déclenché par cette consultation. Pour arrêter Streamlit : Ctrl+C dans son terminal.</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4</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CONTRÔLE DE L’INSTALLATION</w:t>
            </w:r>
          </w:p>
          <w:p>
            <w:pPr>
              <w:spacing w:after="100"/>
            </w:pPr>
            <w:r>
              <w:t>Dans un second PowerShell, revenir dans le dossier du projet, puis :</w:t>
            </w:r>
          </w:p>
          <w:p>
            <w:pPr>
              <w:spacing w:after="100"/>
            </w:pPr>
            <w:r>
              <w:rPr>
                <w:rFonts w:ascii="Consolas" w:hAnsi="Consolas"/>
                <w:sz w:val="20"/>
              </w:rPr>
              <w:t>.\.venv\Scripts\python.exe -m unittest discover -s tests -q</w:t>
            </w:r>
          </w:p>
          <w:p>
            <w:pPr>
              <w:spacing w:after="100"/>
            </w:pPr>
            <w:r>
              <w:t>La suite comporte 67 tests. Le contrôle propre à AgentOps peut être ignoré si son SDK facultatif n’est pas installé.</w:t>
            </w:r>
          </w:p>
        </w:tc>
      </w:tr>
    </w:tbl>
    <w:p>
      <w:pPr>
        <w:spacing w:after="140" w:line="20" w:lineRule="exact"/>
      </w:pPr>
      <w:r>
        <w:rPr>
          <w:sz w:val="2"/>
        </w:rPr>
        <w:t xml:space="preserve"> </w:t>
      </w:r>
    </w:p>
    <w:p>
      <w:r>
        <w:br w:type="page"/>
      </w:r>
    </w:p>
    <w:p>
      <w:r>
        <w:rPr>
          <w:color w:val="EE735C"/>
        </w:rPr>
        <w:t>PARCOURS 03  /  14</w:t>
      </w:r>
    </w:p>
    <w:p>
      <w:pPr>
        <w:pStyle w:val="Heading1"/>
      </w:pPr>
      <w:r>
        <w:t>Préparer le modèle local</w:t>
      </w:r>
    </w:p>
    <w:p>
      <w:r>
        <w:t>Cette page est nécessaire pour lancer les agents, mais pas pour les calculs et graphiques sans IA.</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1</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INSTALLER OLLAMA PORTABLE</w:t>
            </w:r>
          </w:p>
          <w:p>
            <w:pPr>
              <w:spacing w:after="100"/>
            </w:pPr>
            <w:r>
              <w:t>Télécharger ollama-windows-amd64.zip depuis la publication officielle Ollama 0.40.5 utilisée pour ce projet : github.com/ollama/ollama/releases/tag/v0.40.5. Vérifier l’archive selon docs/modele_local.md.</w:t>
            </w:r>
          </w:p>
          <w:p>
            <w:pPr>
              <w:spacing w:after="100"/>
            </w:pPr>
            <w:r>
              <w:t>Extraire son contenu dans .local\ollama : le fichier attendu est .local\ollama\ollama.exe. Les bibliothèques fournies dans l’archive doivent rester avec lui.</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2</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TERMINAL A POUR LE SERVEUR</w:t>
            </w:r>
          </w:p>
          <w:p>
            <w:pPr>
              <w:spacing w:after="100"/>
            </w:pPr>
            <w:r>
              <w:t>Dans le dossier du projet, exécuter :</w:t>
            </w:r>
          </w:p>
          <w:p>
            <w:pPr>
              <w:spacing w:after="100"/>
            </w:pPr>
            <w:r>
              <w:rPr>
                <w:rFonts w:ascii="Consolas" w:hAnsi="Consolas"/>
                <w:sz w:val="20"/>
              </w:rPr>
              <w:t>&amp; ".\scripts\demarrer_ollama_local.ps1"</w:t>
            </w:r>
          </w:p>
          <w:p>
            <w:pPr>
              <w:spacing w:after="100"/>
            </w:pPr>
            <w:r>
              <w:t>Garder ce terminal ouvert. Le script limite le serveur à 127.0.0.1:11434 et désactive le cloud. Ne pas démarrer un second serveur sur le même port.</w:t>
            </w:r>
          </w:p>
          <w:p>
            <w:pPr>
              <w:spacing w:after="100"/>
            </w:pPr>
            <w:r>
              <w:t>Si un Ollama installé fonctionne déjà, le quitter avant de lancer cette procédure portable. Si une politique bloque le script, consulter l’administrateur du poste.</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3</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TERMINAL B POUR TÉLÉCHARGER QWEN3</w:t>
            </w:r>
          </w:p>
          <w:p>
            <w:pPr>
              <w:spacing w:after="100"/>
            </w:pPr>
            <w:r>
              <w:t>Revenir dans le dossier du projet dans un autre PowerShell, puis :</w:t>
            </w:r>
          </w:p>
          <w:p>
            <w:pPr>
              <w:spacing w:after="100"/>
            </w:pPr>
            <w:r>
              <w:rPr>
                <w:rFonts w:ascii="Consolas" w:hAnsi="Consolas"/>
                <w:sz w:val="20"/>
              </w:rPr>
              <w:t>$env:OLLAMA_HOST = '127.0.0.1:11434'</w:t>
            </w:r>
          </w:p>
          <w:p>
            <w:pPr>
              <w:spacing w:after="100"/>
            </w:pPr>
            <w:r>
              <w:rPr>
                <w:rFonts w:ascii="Consolas" w:hAnsi="Consolas"/>
                <w:sz w:val="20"/>
              </w:rPr>
              <w:t>&amp; ".\.local\ollama\ollama.exe" pull qwen3:4b</w:t>
            </w:r>
          </w:p>
          <w:p>
            <w:pPr>
              <w:spacing w:after="100"/>
            </w:pPr>
            <w:r>
              <w:rPr>
                <w:rFonts w:ascii="Consolas" w:hAnsi="Consolas"/>
                <w:sz w:val="20"/>
              </w:rPr>
              <w:t>&amp; ".\.local\ollama\ollama.exe" list</w:t>
            </w:r>
          </w:p>
          <w:p>
            <w:pPr>
              <w:spacing w:after="100"/>
            </w:pPr>
            <w:r>
              <w:t>Contrôle : qwen3:4b figure dans la liste. Le téléchargement utilise Internet ; les inférences suivantes restent locales.</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4</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COMPRENDRE LES PIÈCES</w:t>
            </w:r>
          </w:p>
          <w:p>
            <w:pPr>
              <w:spacing w:after="100"/>
            </w:pPr>
            <w:r>
              <w:t>Ollama exécute Qwen3. CrewAI distribue les missions. Python calcule et vérifie. SQLite garde les traces.</w:t>
            </w:r>
          </w:p>
          <w:p>
            <w:pPr>
              <w:spacing w:after="100"/>
            </w:pPr>
            <w:r>
              <w:t>Le ZIP n’est pas un conteneur : Python, les dépendances, Ollama et le modèle doivent être préparés sur chaque nouveau poste.</w:t>
            </w:r>
          </w:p>
        </w:tc>
      </w:tr>
    </w:tbl>
    <w:p>
      <w:pPr>
        <w:spacing w:after="140" w:line="20" w:lineRule="exact"/>
      </w:pPr>
      <w:r>
        <w:rPr>
          <w:sz w:val="2"/>
        </w:rPr>
        <w:t xml:space="preserve"> </w:t>
      </w:r>
    </w:p>
    <w:p>
      <w:r>
        <w:br w:type="page"/>
      </w:r>
    </w:p>
    <w:p>
      <w:r>
        <w:rPr>
          <w:color w:val="EE735C"/>
        </w:rPr>
        <w:t>PARCOURS 04  /  14</w:t>
      </w:r>
    </w:p>
    <w:p>
      <w:pPr>
        <w:pStyle w:val="Heading1"/>
      </w:pPr>
      <w:r>
        <w:t>Charger les vidéos et commencer S1</w:t>
      </w:r>
    </w:p>
    <w:p>
      <w:r>
        <w:t>Pour apprendre, utiliser exactement les fichiers fictifs fournis. Aucun choix manuel de vidéos n’est nécessaire pour S1.</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1</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CHOISIR LE BON TYPE DE RAPPORT</w:t>
            </w:r>
          </w:p>
          <w:p>
            <w:pPr>
              <w:spacing w:after="100"/>
            </w:pPr>
            <w:r>
              <w:t>Dans la barre latérale, sélectionner Type de rapport → Contenu par vidéo.</w:t>
            </w:r>
          </w:p>
          <w:p>
            <w:pPr>
              <w:spacing w:after="100"/>
            </w:pPr>
            <w:r>
              <w:t>Dans Fichier CSV par vidéo, coller le chemin complet de data\examples\videos\apres.csv depuis le dossier extrait. Le champ attend un chemin local, sans guillemets.</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2</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DÉCLARER LA PÉRIODE ET CHARGER</w:t>
            </w:r>
          </w:p>
          <w:p>
            <w:pPr>
              <w:spacing w:after="100"/>
            </w:pPr>
            <w:r>
              <w:t>Choisir Origine du fichier vidéo → fictive. Définir la période du 17 septembre au 14 octobre 2026.</w:t>
            </w:r>
          </w:p>
          <w:p>
            <w:pPr>
              <w:spacing w:after="100"/>
            </w:pPr>
            <w:r>
              <w:t>Cocher Je confirme la période de cet export, puis cliquer sur Charger le rapport par vidéo.</w:t>
            </w:r>
          </w:p>
          <w:p>
            <w:pPr>
              <w:spacing w:after="100"/>
            </w:pPr>
            <w:r>
              <w:t>Contrôle : 8 vidéos, 560 vues et 5,6 heures sur la ligne Total. La vidéo DEMO0000008 conserve des valeurs absentes.</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3</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LIRE S1 SUR LE FICHIER COMPLET</w:t>
            </w:r>
          </w:p>
          <w:p>
            <w:pPr>
              <w:spacing w:after="100"/>
            </w:pPr>
            <w:r>
              <w:t>Descendre à S1 — trois premières vidéos par vues et par heures. Les filtres de recherche précédents ne changent pas cette mission.</w:t>
            </w:r>
          </w:p>
          <w:p>
            <w:pPr>
              <w:spacing w:after="100"/>
            </w:pPr>
            <w:r>
              <w:t>Résultat attendu en vues : DEMO0000007 = 140 ; DEMO0000006 = 120 ; DEMO0000005 = 100.</w:t>
            </w:r>
          </w:p>
          <w:p>
            <w:pPr>
              <w:spacing w:after="100"/>
            </w:pPr>
            <w:r>
              <w:t>Résultat attendu en heures : les mêmes identifiants avec 1,4 ; 1,2 ; 1,0 heure. Les valeurs absentes ne sont jamais remplacées par zéro.</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4</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VÉRIFIER AVANT DE POURSUIVRE</w:t>
            </w:r>
          </w:p>
          <w:p>
            <w:pPr>
              <w:spacing w:after="100"/>
            </w:pPr>
            <w:r>
              <w:t>Les deux classements sont séparés. Un premier rang en vues n’explique pas la cause du succès et ne garantit pas les performances futures.</w:t>
            </w:r>
          </w:p>
          <w:p>
            <w:pPr>
              <w:spacing w:after="100"/>
            </w:pPr>
            <w:r>
              <w:t>Ces calculs sont effectués en Python sans lancer les agents. Vous pouvez vous arrêter ici pour une première démonstration.</w:t>
            </w:r>
          </w:p>
        </w:tc>
      </w:tr>
    </w:tbl>
    <w:p>
      <w:pPr>
        <w:spacing w:after="140" w:line="20" w:lineRule="exact"/>
      </w:pPr>
      <w:r>
        <w:rPr>
          <w:sz w:val="2"/>
        </w:rPr>
        <w:t xml:space="preserve"> </w:t>
      </w:r>
    </w:p>
    <w:p>
      <w:r>
        <w:br w:type="page"/>
      </w:r>
    </w:p>
    <w:p>
      <w:r>
        <w:rPr>
          <w:color w:val="EE735C"/>
        </w:rPr>
        <w:t>PARCOURS 05  /  14</w:t>
      </w:r>
    </w:p>
    <w:p>
      <w:pPr>
        <w:pStyle w:val="Heading1"/>
      </w:pPr>
      <w:r>
        <w:t>Choisir les groupes de S2</w:t>
      </w:r>
    </w:p>
    <w:p>
      <w:r>
        <w:t>S2 compare deux groupes explicitement choisis. Il ne devine pas quels sujets ou formats sont comparables.</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1</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EXERCICE GUIDÉ AVEC LES EXEMPLES</w:t>
            </w:r>
          </w:p>
          <w:p>
            <w:pPr>
              <w:spacing w:after="100"/>
            </w:pPr>
            <w:r>
              <w:t>Ouvrir Préparer les scénarios S2 et S4, puis S2 — deux groupes explicites.</w:t>
            </w:r>
          </w:p>
          <w:p>
            <w:pPr>
              <w:spacing w:after="100"/>
            </w:pPr>
            <w:r>
              <w:t>Groupe A : DEMO0000001 et DEMO0000002. Groupe B : DEMO0000003 et DEMO0000004. Aucune vidéo ne doit appartenir aux deux groupes.</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2</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JUSTIFIER ET LIRE LES RÉSULTATS</w:t>
            </w:r>
          </w:p>
          <w:p>
            <w:pPr>
              <w:spacing w:after="100"/>
            </w:pPr>
            <w:r>
              <w:t>Dans Justification du choix des groupes, saisir : « Exercice fictif pour vérifier le calcul ; deux vidéos par groupe, sans interprétation éditoriale. »</w:t>
            </w:r>
          </w:p>
          <w:p>
            <w:pPr>
              <w:spacing w:after="100"/>
            </w:pPr>
            <w:r>
              <w:t>Contrôle en vues : A, somme 60 et médiane 30 ; B, somme 140 et médiane 70.</w:t>
            </w:r>
          </w:p>
          <w:p>
            <w:pPr>
              <w:spacing w:after="100"/>
            </w:pPr>
            <w:r>
              <w:t>Contrôle en heures : A, somme 0,6 et médiane 0,3 ; B, somme 1,4 et médiane 0,7.</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3</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CHOISIR DE VRAIS GROUPES ENSUITE</w:t>
            </w:r>
          </w:p>
          <w:p>
            <w:pPr>
              <w:spacing w:after="100"/>
            </w:pPr>
            <w:r>
              <w:t>Définir d’abord la question : par exemple comparer deux thèmes durant la même fenêtre statistique. Vérifier le format réel, les durées et le contexte de publication ; les noter avant l’analyse.</w:t>
            </w:r>
          </w:p>
          <w:p>
            <w:pPr>
              <w:spacing w:after="100"/>
            </w:pPr>
            <w:r>
              <w:t>Choisir des effectifs cohérents et examiner les valeurs absentes. Une somme augmente souvent avec le nombre de vidéos ; lire aussi les effectifs et les médianes.</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4</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VÉRIFICATION DE COMPRÉHENSION</w:t>
            </w:r>
          </w:p>
          <w:p>
            <w:pPr>
              <w:spacing w:after="100"/>
            </w:pPr>
            <w:r>
              <w:t>Ne pas choisir uniquement les meilleures vidéos pour un groupe et les moins vues pour l’autre afin de confirmer une idée.</w:t>
            </w:r>
          </w:p>
          <w:p>
            <w:pPr>
              <w:spacing w:after="100"/>
            </w:pPr>
            <w:r>
              <w:t>Une différence de médiane est descriptive. Elle ne prouve pas que le thème a causé la différence. Conserver les limites si la comparabilité est faible.</w:t>
            </w:r>
          </w:p>
        </w:tc>
      </w:tr>
    </w:tbl>
    <w:p>
      <w:pPr>
        <w:spacing w:after="140" w:line="20" w:lineRule="exact"/>
      </w:pPr>
      <w:r>
        <w:rPr>
          <w:sz w:val="2"/>
        </w:rPr>
        <w:t xml:space="preserve"> </w:t>
      </w:r>
    </w:p>
    <w:p>
      <w:r>
        <w:br w:type="page"/>
      </w:r>
    </w:p>
    <w:p>
      <w:r>
        <w:rPr>
          <w:color w:val="EE735C"/>
        </w:rPr>
        <w:t>PARCOURS 06  /  14</w:t>
      </w:r>
    </w:p>
    <w:p>
      <w:pPr>
        <w:pStyle w:val="Heading1"/>
      </w:pPr>
      <w:r>
        <w:t>Choisir la cible S4 et figer les paramètres</w:t>
      </w:r>
    </w:p>
    <w:p>
      <w:r>
        <w:t>Préparer S4 puis enregistrer S2 et S4 ensemble. Le chargement du JSON est distinct du téléchargement.</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1</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COMPLÉTER S4</w:t>
            </w:r>
          </w:p>
          <w:p>
            <w:pPr>
              <w:spacing w:after="100"/>
            </w:pPr>
            <w:r>
              <w:t>Dans S4 — cible et références explicites, choisir Vidéo cible → DEMO0000001.</w:t>
            </w:r>
          </w:p>
          <w:p>
            <w:pPr>
              <w:spacing w:after="100"/>
            </w:pPr>
            <w:r>
              <w:t>Groupe de référence → DEMO0000003 et DEMO0000004 ; Mesure de la cible → vues. Ne jamais inclure la cible dans ses références.</w:t>
            </w:r>
          </w:p>
          <w:p>
            <w:pPr>
              <w:spacing w:after="100"/>
            </w:pPr>
            <w:r>
              <w:t>Justification : « Exercice fictif de comparaison à une médiane, sans cause attribuée. »</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2</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CONTRÔLER PUIS TÉLÉCHARGER</w:t>
            </w:r>
          </w:p>
          <w:p>
            <w:pPr>
              <w:spacing w:after="100"/>
            </w:pPr>
            <w:r>
              <w:t>Contrôle : cible = 20 vues ; médiane des références = 70 vues ; écart = −50 vues. Cela ne signifie pas un échec général de la vidéo.</w:t>
            </w:r>
          </w:p>
          <w:p>
            <w:pPr>
              <w:spacing w:after="100"/>
            </w:pPr>
            <w:r>
              <w:t>Quand S2 et S4 sont complets et justifiés, cliquer sur Enregistrer les paramètres S2 et S4 (JSON).</w:t>
            </w:r>
          </w:p>
          <w:p>
            <w:pPr>
              <w:spacing w:after="100"/>
            </w:pPr>
            <w:r>
              <w:t>Retrouver parametres_s2_s4.json dans Téléchargements, puis le placer dans data\examples\videos. Noter son chemin complet.</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3</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RECHARGER LE JSON DANS L’APPLICATION</w:t>
            </w:r>
          </w:p>
          <w:p>
            <w:pPr>
              <w:spacing w:after="100"/>
            </w:pPr>
            <w:r>
              <w:t>Dans Charger les paramètres enregistrés — S2 et S4, renseigner Fichier JSON S2/S4 avec ce chemin complet.</w:t>
            </w:r>
          </w:p>
          <w:p>
            <w:pPr>
              <w:spacing w:after="100"/>
            </w:pPr>
            <w:r>
              <w:t>Cliquer sur Charger et vérifier les paramètres S2/S4. Le programme contrôle le fichier, les dates, les identifiants et recalcule les valeurs.</w:t>
            </w:r>
          </w:p>
          <w:p>
            <w:pPr>
              <w:spacing w:after="100"/>
            </w:pPr>
            <w:r>
              <w:t>Contrôle : le message confirme le chargement et les sections des missions S2 et S4 apparaissent plus bas.</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4</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ÉVITER LA CONFUSION DES SÉLECTEURS</w:t>
            </w:r>
          </w:p>
          <w:p>
            <w:pPr>
              <w:spacing w:after="100"/>
            </w:pPr>
            <w:r>
              <w:t>Le chargement ne remplit pas nécessairement les sélecteurs du haut. Consulter les paramètres figés de la mission affichée plus bas.</w:t>
            </w:r>
          </w:p>
          <w:p>
            <w:pPr>
              <w:spacing w:after="100"/>
            </w:pPr>
            <w:r>
              <w:t>Pour modifier les groupes, refaire la sélection, exporter un nouveau JSON puis le recharger. Un JSON d’un autre CSV ou d’une autre période peut être refusé.</w:t>
            </w:r>
          </w:p>
        </w:tc>
      </w:tr>
    </w:tbl>
    <w:p>
      <w:pPr>
        <w:spacing w:after="140" w:line="20" w:lineRule="exact"/>
      </w:pPr>
      <w:r>
        <w:rPr>
          <w:sz w:val="2"/>
        </w:rPr>
        <w:t xml:space="preserve"> </w:t>
      </w:r>
    </w:p>
    <w:p>
      <w:r>
        <w:br w:type="page"/>
      </w:r>
    </w:p>
    <w:p>
      <w:r>
        <w:rPr>
          <w:color w:val="EE735C"/>
        </w:rPr>
        <w:t>PARCOURS 07  /  14</w:t>
      </w:r>
    </w:p>
    <w:p>
      <w:pPr>
        <w:pStyle w:val="Heading1"/>
      </w:pPr>
      <w:r>
        <w:t>Comparer deux périodes avec S3</w:t>
      </w:r>
    </w:p>
    <w:p>
      <w:r>
        <w:t>Comparer la même mesure dans deux fenêtres de même longueur et séparer le canal des vidéos communes.</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1</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CONSERVER LE RAPPORT COURANT</w:t>
            </w:r>
          </w:p>
          <w:p>
            <w:pPr>
              <w:spacing w:after="100"/>
            </w:pPr>
            <w:r>
              <w:t>Le rapport principal reste apres.csv : origine fictive, du 17 septembre au 14 octobre 2026.</w:t>
            </w:r>
          </w:p>
          <w:p>
            <w:pPr>
              <w:spacing w:after="100"/>
            </w:pPr>
            <w:r>
              <w:t>Descendre à Comparer deux périodes — scénario S3 et ouvrir Charger la période précédente.</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2</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CHARGER LA RÉFÉRENCE</w:t>
            </w:r>
          </w:p>
          <w:p>
            <w:pPr>
              <w:spacing w:after="100"/>
            </w:pPr>
            <w:r>
              <w:t>Dans CSV vidéo de référence, indiquer le chemin complet de data\examples\videos\avant.csv.</w:t>
            </w:r>
          </w:p>
          <w:p>
            <w:pPr>
              <w:spacing w:after="100"/>
            </w:pPr>
            <w:r>
              <w:t>Période de référence : du 20 août au 16 septembre 2026. Cocher Je confirme les dates de cet export de référence, puis cliquer sur Comparer les deux périodes.</w:t>
            </w:r>
          </w:p>
          <w:p>
            <w:pPr>
              <w:spacing w:after="100"/>
            </w:pPr>
            <w:r>
              <w:t>Ces deux fenêtres comptent chacune 28 jours. Les dates de publication des vidéos ne définissent pas ces périodes statistiques.</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3</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RÉSULTATS ATTENDUS DU JEU FICTIF</w:t>
            </w:r>
          </w:p>
          <w:p>
            <w:pPr>
              <w:spacing w:after="100"/>
            </w:pPr>
            <w:r>
              <w:t>Canal : 280 → 560 vues, soit +280 ; 2,8 → 5,6 heures, soit +2,8 heures. Les variations sont de +100 %.</w:t>
            </w:r>
          </w:p>
          <w:p>
            <w:pPr>
              <w:spacing w:after="100"/>
            </w:pPr>
            <w:r>
              <w:t>Les 8 identifiants sont communs aux deux exports ; 7 paires ont des valeurs connues pour les vues et heures.</w:t>
            </w:r>
          </w:p>
          <w:p>
            <w:pPr>
              <w:spacing w:after="100"/>
            </w:pPr>
            <w:r>
              <w:t>Lire séparément Canal — ligne Total et Vidéos communes — paires connues. Leurs égalités numériques dans cet exemple ne rendent pas ces populations identiques.</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4</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INTERPRÉTER AVEC PRUDENCE</w:t>
            </w:r>
          </w:p>
          <w:p>
            <w:pPr>
              <w:spacing w:after="100"/>
            </w:pPr>
            <w:r>
              <w:t>Ce doublement a été construit dans les exemples pour tester l’interface. Il ne constitue pas un résultat de la chaîne réelle.</w:t>
            </w:r>
          </w:p>
          <w:p>
            <w:pPr>
              <w:spacing w:after="100"/>
            </w:pPr>
            <w:r>
              <w:t>Avec de vrais exports, vérifier dates, couverture et absences. Un changement entre périodes ne démontre pas l’effet d’une publication, d’un thème ou d’une action.</w:t>
            </w:r>
          </w:p>
        </w:tc>
      </w:tr>
    </w:tbl>
    <w:p>
      <w:pPr>
        <w:spacing w:after="140" w:line="20" w:lineRule="exact"/>
      </w:pPr>
      <w:r>
        <w:rPr>
          <w:sz w:val="2"/>
        </w:rPr>
        <w:t xml:space="preserve"> </w:t>
      </w:r>
    </w:p>
    <w:p>
      <w:r>
        <w:br w:type="page"/>
      </w:r>
    </w:p>
    <w:p>
      <w:r>
        <w:rPr>
          <w:color w:val="EE735C"/>
        </w:rPr>
        <w:t>PARCOURS 08  /  14</w:t>
      </w:r>
    </w:p>
    <w:p>
      <w:pPr>
        <w:pStyle w:val="Heading1"/>
      </w:pPr>
      <w:r>
        <w:t>Lancer et relire un pilote IA</w:t>
      </w:r>
    </w:p>
    <w:p>
      <w:r>
        <w:t>Ne lancer les agents qu’après avoir vérifié les calculs. Chaque bouton correspond à une mission précise.</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1</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CHOISIR UNE SEULE MISSION</w:t>
            </w:r>
          </w:p>
          <w:p>
            <w:pPr>
              <w:spacing w:after="100"/>
            </w:pPr>
            <w:r>
              <w:t>Vérifier que le serveur Ollama et Streamlit restent ouverts. Dans la section Quatre agents CrewAI locaux de S1, S2, S4 ou S3, consulter la mission affichée.</w:t>
            </w:r>
          </w:p>
          <w:p>
            <w:pPr>
              <w:spacing w:after="100"/>
            </w:pPr>
            <w:r>
              <w:t>Cliquer une seule fois sur Lancer les quatre agents IA locaux — 0 USD API. Garder la session ouverte ; un calcul sur CPU peut durer plusieurs minutes.</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2</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COMPRENDRE LES CINQ TÂCHES</w:t>
            </w:r>
          </w:p>
          <w:p>
            <w:pPr>
              <w:spacing w:after="100"/>
            </w:pPr>
            <w:r>
              <w:t>Les quatre rôles sont Coordonnateur, Chercheur, Analyste et Vérificateur. Le coordonnateur travaille au début et revient pour la synthèse : cinq tâches au total.</w:t>
            </w:r>
          </w:p>
          <w:p>
            <w:pPr>
              <w:spacing w:after="100"/>
            </w:pPr>
            <w:r>
              <w:t>La section « — vidéos » correspond à la mission de comparaison et d’hypothèse éditoriale utilisée pour S5 dans la campagne. Une exécution depuis ce bouton reste un pilote, hors des 20 essais évalués.</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3</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LIRE LES PREUVES</w:t>
            </w:r>
          </w:p>
          <w:p>
            <w:pPr>
              <w:spacing w:after="100"/>
            </w:pPr>
            <w:r>
              <w:t>Choisir l’exécution dans Exécution IA locale à consulter. Examiner durée, jetons, rapport du vérificateur, outils et résultat.</w:t>
            </w:r>
          </w:p>
          <w:p>
            <w:pPr>
              <w:spacing w:after="100"/>
            </w:pPr>
            <w:r>
              <w:t>Déplacer Relecture de l’exécution IA réelle pour suivre les tâches. Le rôle orange est l’étape sélectionnée en relecture ; il ne signifie pas que cet agent travaille maintenant.</w:t>
            </w:r>
          </w:p>
          <w:p>
            <w:pPr>
              <w:spacing w:after="100"/>
            </w:pPr>
            <w:r>
              <w:t>Les durées et tokens de votre essai peuvent différer de ceux du rapport. Ne pas attendre exactement 179 secondes.</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4</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VÉRIFIER LA RECOMMANDATION S5</w:t>
            </w:r>
          </w:p>
          <w:p>
            <w:pPr>
              <w:spacing w:after="100"/>
            </w:pPr>
            <w:r>
              <w:t>Chercher une action précise, une mesure à observer et une limite. Refuser les promesses de vues ou de croissance.</w:t>
            </w:r>
          </w:p>
          <w:p>
            <w:pPr>
              <w:spacing w:after="100"/>
            </w:pPr>
            <w:r>
              <w:t>Les formulations sont contraintes par des outils et schémas Python. Un contrôle réussi ne prouve pas une créativité libre ni une comparabilité démontrée.</w:t>
            </w:r>
          </w:p>
        </w:tc>
      </w:tr>
    </w:tbl>
    <w:p>
      <w:pPr>
        <w:spacing w:after="140" w:line="20" w:lineRule="exact"/>
      </w:pPr>
      <w:r>
        <w:rPr>
          <w:sz w:val="2"/>
        </w:rPr>
        <w:t xml:space="preserve"> </w:t>
      </w:r>
    </w:p>
    <w:p>
      <w:r>
        <w:br w:type="page"/>
      </w:r>
    </w:p>
    <w:p>
      <w:r>
        <w:rPr>
          <w:color w:val="EE735C"/>
        </w:rPr>
        <w:t>PARCOURS 09  /  14</w:t>
      </w:r>
    </w:p>
    <w:p>
      <w:pPr>
        <w:pStyle w:val="Heading1"/>
      </w:pPr>
      <w:r>
        <w:t>Passer aux vrais exports et à la campagne</w:t>
      </w:r>
    </w:p>
    <w:p>
      <w:r>
        <w:t>La campagne évaluée exige des données réellement issues de YouTube Studio. Ne jamais changer fictive en reelle pour contourner cette règle.</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1</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PRÉPARER VOS PROPRES FICHIERS</w:t>
            </w:r>
          </w:p>
          <w:p>
            <w:pPr>
              <w:spacing w:after="100"/>
            </w:pPr>
            <w:r>
              <w:t>Exporter une table par vidéo pour chacune de deux périodes de même longueur. Garder les CSV originaux et les dates sélectionnées dans YouTube Studio.</w:t>
            </w:r>
          </w:p>
          <w:p>
            <w:pPr>
              <w:spacing w:after="100"/>
            </w:pPr>
            <w:r>
              <w:t>Charger le CSV courant avec origine reelle, confirmer les dates et examiner qualité, absences et totaux. S1 utilise alors tous les identifiants de cet export, pas une sélection manuelle.</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2</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JUSTIFIER LES SÉLECTIONS</w:t>
            </w:r>
          </w:p>
          <w:p>
            <w:pPr>
              <w:spacing w:after="100"/>
            </w:pPr>
            <w:r>
              <w:t>Choisir S2 et S4 selon une question explicite : sujet, format vérifié, durée et contexte d’exposition. Une référence unique ou un sujet différent affaiblit la comparaison.</w:t>
            </w:r>
          </w:p>
          <w:p>
            <w:pPr>
              <w:spacing w:after="100"/>
            </w:pPr>
            <w:r>
              <w:t>Noter la justification avant les essais, exporter puis recharger le JSON pour ce CSV réel. Préparer S3 avec l’autre période réelle. Les exemples de ce guide ne fournissent pas une preuve commerciale.</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3</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FIGER PUIS EXÉCUTER LE PLAN</w:t>
            </w:r>
          </w:p>
          <w:p>
            <w:pPr>
              <w:spacing w:after="100"/>
            </w:pPr>
            <w:r>
              <w:t>En bas de page, ouvrir Préparer et figer le plan des vingt essais. Renseigner le JSON réel, le CSV précédent, ses dates et la confirmation.</w:t>
            </w:r>
          </w:p>
          <w:p>
            <w:pPr>
              <w:spacing w:after="100"/>
            </w:pPr>
            <w:r>
              <w:t>Cliquer sur Figer le plan — aucun appel IA. Le plan contient 5 scénarios × 2 températures du même Qwen3 × 2 répétitions = 20 emplacements.</w:t>
            </w:r>
          </w:p>
          <w:p>
            <w:pPr>
              <w:spacing w:after="100"/>
            </w:pPr>
            <w:r>
              <w:t>Exécuter le prochain essai de campagne lance un essai à la fois. Pour la boucle séquentielle, suivre docs/campagne.md avec l’identifiant exact du nouveau plan. Ne pas lancer deux campagnes en parallèle.</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4</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RELIRE ET NOTER CHAQUE RÉSULTAT</w:t>
            </w:r>
          </w:p>
          <w:p>
            <w:pPr>
              <w:spacing w:after="100"/>
            </w:pPr>
            <w:r>
              <w:t>Pour chaque trace, choisir 0, 1 ou 2 pour exactitude, traçabilité, respect_mission et limites ; renseigner évaluateur, justification et erreur critique. Enregistrer l’évaluation humaine.</w:t>
            </w:r>
          </w:p>
          <w:p>
            <w:pPr>
              <w:spacing w:after="100"/>
            </w:pPr>
            <w:r>
              <w:t>Un emplacement traité peut avoir échoué. Conserver les refus et incidents. Ne pas modifier code, modèle ou paramètres pendant le plan figé ; une dérive peut bloquer sa reprise.</w:t>
            </w:r>
          </w:p>
        </w:tc>
      </w:tr>
    </w:tbl>
    <w:p>
      <w:pPr>
        <w:spacing w:after="140" w:line="20" w:lineRule="exact"/>
      </w:pPr>
      <w:r>
        <w:rPr>
          <w:sz w:val="2"/>
        </w:rPr>
        <w:t xml:space="preserve"> </w:t>
      </w:r>
    </w:p>
    <w:p>
      <w:r>
        <w:br w:type="page"/>
      </w:r>
    </w:p>
    <w:p>
      <w:r>
        <w:rPr>
          <w:color w:val="EE735C"/>
        </w:rPr>
        <w:t>PARCOURS 10  /  14</w:t>
      </w:r>
    </w:p>
    <w:p>
      <w:pPr>
        <w:pStyle w:val="Heading1"/>
      </w:pPr>
      <w:r>
        <w:t>Comprendre la connexion AgentOps</w:t>
      </w:r>
    </w:p>
    <w:p>
      <w:r>
        <w:t>AgentOps est facultatif pour explorer le tableau de bord. Il reçoit ici un résumé après exécution, sans les contenus privés.</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1</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CONFIGURER AVEC SA PROPRE CLÉ</w:t>
            </w:r>
          </w:p>
          <w:p>
            <w:pPr>
              <w:spacing w:after="100"/>
            </w:pPr>
            <w:r>
              <w:t>Installer le complément depuis le dossier du projet :</w:t>
            </w:r>
          </w:p>
          <w:p>
            <w:pPr>
              <w:spacing w:after="100"/>
            </w:pPr>
            <w:r>
              <w:rPr>
                <w:rFonts w:ascii="Consolas" w:hAnsi="Consolas"/>
                <w:sz w:val="20"/>
              </w:rPr>
              <w:t>.\.venv\Scripts\python.exe -m pip install -r requirements-agentops.txt</w:t>
            </w:r>
          </w:p>
          <w:p>
            <w:pPr>
              <w:spacing w:after="100"/>
            </w:pPr>
            <w:r>
              <w:t>Créer un compte AgentOps et une clé de projet, puis :</w:t>
            </w:r>
          </w:p>
          <w:p>
            <w:pPr>
              <w:spacing w:after="100"/>
            </w:pPr>
            <w:r>
              <w:rPr>
                <w:rFonts w:ascii="Consolas" w:hAnsi="Consolas"/>
                <w:sz w:val="20"/>
              </w:rPr>
              <w:t>.\.venv\Scripts\python.exe -m observatoire.connexion_agentops --configurer</w:t>
            </w:r>
          </w:p>
          <w:p>
            <w:pPr>
              <w:spacing w:after="100"/>
            </w:pPr>
            <w:r>
              <w:t>Coller la clé une seule fois et appuyer sur Entrée. La saisie est masquée : le curseur peut sembler immobile.</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2</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TESTER LA RÉCEPTION</w:t>
            </w:r>
          </w:p>
          <w:p>
            <w:pPr>
              <w:spacing w:after="100"/>
            </w:pPr>
            <w:r>
              <w:rPr>
                <w:rFonts w:ascii="Consolas" w:hAnsi="Consolas"/>
                <w:sz w:val="20"/>
              </w:rPr>
              <w:t>.\.venv\Scripts\python.exe -m observatoire.connexion_agentops --tester</w:t>
            </w:r>
          </w:p>
          <w:p>
            <w:pPr>
              <w:spacing w:after="100"/>
            </w:pPr>
            <w:r>
              <w:t>Attendre envoye_a_verifier_dashboard, puis ouvrir Traces dans AgentOps. Chercher Observatoire - resume technique.</w:t>
            </w:r>
          </w:p>
          <w:p>
            <w:pPr>
              <w:spacing w:after="100"/>
            </w:pPr>
            <w:r>
              <w:t>Une trace de test simple contient une session. Après un nouveau pilote complet, attendre six spans : la session et cinq étapes. La clé n’est jamais à montrer dans une capture.</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3</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LIRE CORRECTEMENT LES NOMBRES</w:t>
            </w:r>
          </w:p>
          <w:p>
            <w:pPr>
              <w:spacing w:after="100"/>
            </w:pPr>
            <w:r>
              <w:t>Les millisecondes affichées dans AgentOps sont celles du résumé exporté. Les temps réels sont enregistrés localement et transmis en attributs.</w:t>
            </w:r>
          </w:p>
          <w:p>
            <w:pPr>
              <w:spacing w:after="100"/>
            </w:pPr>
            <w:r>
              <w:t>LLM Calls: 0 et Tool Calls: 0 ne signifient pas que le pilote n’a rien exécuté : nous n’instrumentons pas ces appels comme événements natifs AgentOps.</w:t>
            </w:r>
          </w:p>
          <w:p>
            <w:pPr>
              <w:spacing w:after="100"/>
            </w:pPr>
            <w:r>
              <w:t>Les 20 essais historiques n’ont pas été instrumentés rétroactivement. Leurs détails sont dans le rapport et la base privée de développement, absente du ZIP.</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4</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CONTRÔLE FINAL DE CONFIDENTIALITÉ</w:t>
            </w:r>
          </w:p>
          <w:p>
            <w:pPr>
              <w:spacing w:after="100"/>
            </w:pPr>
            <w:r>
              <w:t>Ne pas transmettre la clé, .local, .env, les journaux ou les bases réelles. La clé locale est un fichier en clair ignoré par Git.</w:t>
            </w:r>
          </w:p>
          <w:p>
            <w:pPr>
              <w:spacing w:after="100"/>
            </w:pPr>
            <w:r>
              <w:t>Les frais API du modèle local sont nuls ; électricité et matériel ne sont pas mesurés. Les conditions d’AgentOps dépendent du compte : vérifier son plan.</w:t>
            </w:r>
          </w:p>
        </w:tc>
      </w:tr>
    </w:tbl>
    <w:p>
      <w:pPr>
        <w:spacing w:after="140" w:line="20" w:lineRule="exact"/>
      </w:pPr>
      <w:r>
        <w:rPr>
          <w:sz w:val="2"/>
        </w:rPr>
        <w:t xml:space="preserve"> </w:t>
      </w:r>
    </w:p>
    <w:p>
      <w:r>
        <w:br w:type="page"/>
      </w:r>
    </w:p>
    <w:p>
      <w:r>
        <w:rPr>
          <w:color w:val="EE735C"/>
        </w:rPr>
        <w:t>PARCOURS 11  /  14</w:t>
      </w:r>
    </w:p>
    <w:p>
      <w:pPr>
        <w:pStyle w:val="Heading1"/>
      </w:pPr>
      <w:r>
        <w:t>Vérifier sa progression et savoir réagir</w:t>
      </w:r>
    </w:p>
    <w:p>
      <w:r>
        <w:t>Cocher seulement après observation du résultat. L’absence d’erreur ne remplace pas la vérification des chiffres.</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1</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LISTE DE VÉRIFICATION</w:t>
            </w:r>
          </w:p>
          <w:p>
            <w:pPr>
              <w:spacing w:after="100"/>
            </w:pPr>
            <w:r>
              <w:t>□ L’interface s’ouvre et les exemples sont déclarés fictifs.</w:t>
            </w:r>
          </w:p>
          <w:p>
            <w:pPr>
              <w:spacing w:after="100"/>
            </w:pPr>
            <w:r>
              <w:t>□ S1 montre 140, 120 et 100 vues pour les trois premiers exemples.</w:t>
            </w:r>
          </w:p>
          <w:p>
            <w:pPr>
              <w:spacing w:after="100"/>
            </w:pPr>
            <w:r>
              <w:t>□ S2 montre les médianes de 30 et 70 vues ; S4 montre un écart de −50 vues.</w:t>
            </w:r>
          </w:p>
          <w:p>
            <w:pPr>
              <w:spacing w:after="100"/>
            </w:pPr>
            <w:r>
              <w:t>□ S3 compare deux fenêtres de 28 jours avec les bons fichiers.</w:t>
            </w:r>
          </w:p>
          <w:p>
            <w:pPr>
              <w:spacing w:after="100"/>
            </w:pPr>
            <w:r>
              <w:t>□ Un pilote montre cinq tâches, des outils et un verdict lisible.</w:t>
            </w:r>
          </w:p>
          <w:p>
            <w:pPr>
              <w:spacing w:after="100"/>
            </w:pPr>
            <w:r>
              <w:t>□ Je distingue les calculs Python, le texte du modèle et les avis humains.</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2</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SI QUELQUE CHOSE BLOQUE</w:t>
            </w:r>
          </w:p>
          <w:p>
            <w:pPr>
              <w:spacing w:after="100"/>
            </w:pPr>
            <w:r>
              <w:t>Fichier absent : vérifier le chemin complet après extraction. Le paquet ne contient pas youtube_csv ni la base privée.</w:t>
            </w:r>
          </w:p>
          <w:p>
            <w:pPr>
              <w:spacing w:after="100"/>
            </w:pPr>
            <w:r>
              <w:t>Bouton S2/S4 absent : compléter les deux exercices et les justifications, télécharger le JSON, puis le charger dans la section dédiée.</w:t>
            </w:r>
          </w:p>
          <w:p>
            <w:pPr>
              <w:spacing w:after="100"/>
            </w:pPr>
            <w:r>
              <w:t>Modèle inaccessible : vérifier Ollama, qwen3:4b et le port 11434 ; ne pas relancer plusieurs fois le même essai.</w:t>
            </w:r>
          </w:p>
          <w:p>
            <w:pPr>
              <w:spacing w:after="100"/>
            </w:pPr>
            <w:r>
              <w:t>Campagne refusée avec les exemples : c’est normal, elle exige de vrais exports. Ne pas falsifier l’origine.</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3</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AVANT DE PRÉSENTER OU REMETTRE</w:t>
            </w:r>
          </w:p>
          <w:p>
            <w:pPr>
              <w:spacing w:after="100"/>
            </w:pPr>
            <w:r>
              <w:t>Montrer les fichiers utilisés, leurs dates et leurs limites. Annoncer si les données sont fictives, réelles ou une relecture historique.</w:t>
            </w:r>
          </w:p>
          <w:p>
            <w:pPr>
              <w:spacing w:after="100"/>
            </w:pPr>
            <w:r>
              <w:t>Le paquet a passé 67 tests avec une installation Python neuve sur le poste de développement. Un autre ordinateur reste à vérifier. La vitesse dépend du matériel.</w:t>
            </w:r>
          </w:p>
          <w:p>
            <w:pPr>
              <w:spacing w:after="100"/>
            </w:pPr>
            <w:r>
              <w:t>La présentation prévoit environ 12 minutes. Confirmer le sujet, la réalisation individuelle et les modalités de remise avec l’enseignant.</w:t>
            </w:r>
          </w:p>
        </w:tc>
      </w:tr>
    </w:tbl>
    <w:p>
      <w:pPr>
        <w:spacing w:after="140" w:line="20" w:lineRule="exact"/>
      </w:pPr>
      <w:r>
        <w:rPr>
          <w:sz w:val="2"/>
        </w:rPr>
        <w:t xml:space="preserve"> </w:t>
      </w:r>
    </w:p>
    <w:p>
      <w:r>
        <w:rPr>
          <w:sz w:val="18"/>
        </w:rPr>
        <w:t>Sources et aide : README.md ; docs/modele_local.md ; docs/campagne.md ; docs/connexion_agentops.md ; docs/agents_s2_s4.md. Installation officielle : https://docs.ollama.com/windows ; modèle : https://ollama.com/library/qwen3:4b. Guide préparé avec assistance IA et vérifié sur les exemples livrés.</w:t>
      </w:r>
    </w:p>
    <w:p>
      <w:r>
        <w:br w:type="page"/>
      </w:r>
    </w:p>
    <w:p>
      <w:r>
        <w:rPr>
          <w:color w:val="EE735C"/>
        </w:rPr>
        <w:t>PARCOURS 12  /  14</w:t>
      </w:r>
    </w:p>
    <w:p>
      <w:pPr>
        <w:pStyle w:val="Heading1"/>
      </w:pPr>
      <w:r>
        <w:t>Versions logicielles de référence</w:t>
      </w:r>
    </w:p>
    <w:p>
      <w:r>
        <w:t>Inventaire vérifié le 17 octobre 2026 dans l’environnement du projet. Versions testées, et non dernières versions disponibles.</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1</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EXÉCUTION ET STOCKAGE</w:t>
            </w:r>
          </w:p>
          <w:p>
            <w:pPr>
              <w:spacing w:after="100"/>
            </w:pPr>
            <w:r>
              <w:t>Python 3.12.14, 64 bits AMD64 : exécution du code et environnement virtuel .venv. Référence [R1].</w:t>
            </w:r>
          </w:p>
          <w:p>
            <w:pPr>
              <w:spacing w:after="100"/>
            </w:pPr>
            <w:r>
              <w:t>SQLite 3.53.1 : moteur embarqué constaté via sqlite3.sqlite_version ; fourni avec cet interpréteur, sans serveur de base séparé. Référence [R2].</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2</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INTERFACE ET ORCHESTRATION</w:t>
            </w:r>
          </w:p>
          <w:p>
            <w:pPr>
              <w:spacing w:after="100"/>
            </w:pPr>
            <w:r>
              <w:t>Streamlit 1.66.0 : interface et contrôles du tableau de bord [R3]. Plotly 7.1.0 : graphiques interactifs [R4].</w:t>
            </w:r>
          </w:p>
          <w:p>
            <w:pPr>
              <w:spacing w:after="100"/>
            </w:pPr>
            <w:r>
              <w:t>CrewAI 1.15.28 : orchestration séquentielle des quatre rôles et cinq tâches [R5].</w:t>
            </w:r>
          </w:p>
          <w:p>
            <w:pPr>
              <w:spacing w:after="100"/>
            </w:pPr>
            <w:r>
              <w:t>Ces trois dépendances directes sont fixées avec == dans requirements.txt. Les dépendances transitives ne constituent pas un verrouillage complet de tout l’environnement.</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3</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MODÈLE ET OBSERVABILITÉ</w:t>
            </w:r>
          </w:p>
          <w:p>
            <w:pPr>
              <w:spacing w:after="100"/>
            </w:pPr>
            <w:r>
              <w:t>Ollama portable Windows amd64 0.40.5 : moteur local testé [R6]. Modèle qwen3:4b, quantification Q4_K_M, environ 2,5 Go à télécharger [R7].</w:t>
            </w:r>
          </w:p>
          <w:p>
            <w:pPr>
              <w:spacing w:after="100"/>
            </w:pPr>
            <w:r>
              <w:t>Le tag du modèle n’est pas une garantie d’immuabilité : conserver son empreinte dans le plan. Le contrôle du runtime refuse une dérive pendant une campagne.</w:t>
            </w:r>
          </w:p>
          <w:p>
            <w:pPr>
              <w:spacing w:after="100"/>
            </w:pPr>
            <w:r>
              <w:t>AgentOps SDK Python 0.4.21 : complément facultatif fixé dans requirements-agentops.txt [R8]. Le tableau de bord distant n’est pas un logiciel livré ou figé dans le ZIP.</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4</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VÉRIFIER AVANT DE REPRODUIRE</w:t>
            </w:r>
          </w:p>
          <w:p>
            <w:pPr>
              <w:spacing w:after="100"/>
            </w:pPr>
            <w:r>
              <w:rPr>
                <w:rFonts w:ascii="Consolas" w:hAnsi="Consolas"/>
                <w:sz w:val="20"/>
              </w:rPr>
              <w:t>.\.venv\Scripts\python.exe --version</w:t>
            </w:r>
          </w:p>
          <w:p>
            <w:pPr>
              <w:spacing w:after="100"/>
            </w:pPr>
            <w:r>
              <w:rPr>
                <w:rFonts w:ascii="Consolas" w:hAnsi="Consolas"/>
                <w:sz w:val="20"/>
              </w:rPr>
              <w:t>.\.venv\Scripts\python.exe -m pip show streamlit plotly crewai agentops</w:t>
            </w:r>
          </w:p>
          <w:p>
            <w:pPr>
              <w:spacing w:after="100"/>
            </w:pPr>
            <w:r>
              <w:rPr>
                <w:rFonts w:ascii="Consolas" w:hAnsi="Consolas"/>
                <w:sz w:val="20"/>
              </w:rPr>
              <w:t>.\.venv\Scripts\python.exe -m pip check</w:t>
            </w:r>
          </w:p>
          <w:p>
            <w:pPr>
              <w:spacing w:after="100"/>
            </w:pPr>
            <w:r>
              <w:t>Une autre version de Python peut fournir une autre version de SQLite. Ne pas mettre à jour au milieu d’un plan figé.</w:t>
            </w:r>
          </w:p>
        </w:tc>
      </w:tr>
    </w:tbl>
    <w:p>
      <w:pPr>
        <w:spacing w:after="140" w:line="20" w:lineRule="exact"/>
      </w:pPr>
      <w:r>
        <w:rPr>
          <w:sz w:val="2"/>
        </w:rPr>
        <w:t xml:space="preserve"> </w:t>
      </w:r>
    </w:p>
    <w:p>
      <w:r>
        <w:br w:type="page"/>
      </w:r>
    </w:p>
    <w:p>
      <w:r>
        <w:rPr>
          <w:color w:val="EE735C"/>
        </w:rPr>
        <w:t>PARCOURS 13  /  14</w:t>
      </w:r>
    </w:p>
    <w:p>
      <w:pPr>
        <w:pStyle w:val="Heading1"/>
      </w:pPr>
      <w:r>
        <w:t>Spécifications techniques du système</w:t>
      </w:r>
    </w:p>
    <w:p>
      <w:r>
        <w:t>Les valeurs du poste décrivent un environnement observé ; elles ne constituent pas des exigences minimales garanties.</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1</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POSTE OBSERVÉ ET CAPACITÉ</w:t>
            </w:r>
          </w:p>
          <w:p>
            <w:pPr>
              <w:spacing w:after="100"/>
            </w:pPr>
            <w:r>
              <w:t>Diagnostic matériel du 15 octobre 2026 : Windows 10 Pro 22H2, build 19045 ; Intel Core i7-4770K, 4 cœurs et 8 processeurs logiques ; 16 Gio de RAM.</w:t>
            </w:r>
          </w:p>
          <w:p>
            <w:pPr>
              <w:spacing w:after="100"/>
            </w:pPr>
            <w:r>
              <w:t>GPU installé : NVIDIA GTX 1080, 8 Gio, pilote 560.94. Les essais du projet utilisent le CPU ; aucune accélération GPU opérationnelle n’est revendiquée.</w:t>
            </w:r>
          </w:p>
          <w:p>
            <w:pPr>
              <w:spacing w:after="100"/>
            </w:pPr>
            <w:r>
              <w:t>Prévoir de l’espace pour Python, ses bibliothèques et le modèle. Le téléchargement du modèle ne représente pas toute la mémoire nécessaire en fonctionnement.</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2</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RÉSEAU ET LIMITES DU CALCUL</w:t>
            </w:r>
          </w:p>
          <w:p>
            <w:pPr>
              <w:spacing w:after="100"/>
            </w:pPr>
            <w:r>
              <w:t>Interface Streamlit : http://127.0.0.1:8501. API Ollama : http://127.0.0.1:11434. Ce sont des adresses de boucle locale, sans exposition distante prévue.</w:t>
            </w:r>
          </w:p>
          <w:p>
            <w:pPr>
              <w:spacing w:after="100"/>
            </w:pPr>
            <w:r>
              <w:t>Contexte : 4 096 jetons ; sortie maximale : 512 jetons par appel ; au plus 12 appels locaux et 600 secondes par workflow. Un modèle chargé, une requête parallèle ; exécution séquentielle.</w:t>
            </w:r>
          </w:p>
          <w:p>
            <w:pPr>
              <w:spacing w:after="100"/>
            </w:pPr>
            <w:r>
              <w:t>Campagne : S1 à S5 × températures 0 et 0,4 × deux répétitions ; graines 4101 et 4102. Même modèle Qwen3 : aucune comparaison entre deux modèles distincts.</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3</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CONTRAT DES DONNÉES ET DES PREUVES</w:t>
            </w:r>
          </w:p>
          <w:p>
            <w:pPr>
              <w:spacing w:after="100"/>
            </w:pPr>
            <w:r>
              <w:t>Entrées : exports CSV YouTube Studio par vidéo ; deux périodes statistiques explicitement confirmées pour S3. Les dates de publication ne remplacent pas ces périodes.</w:t>
            </w:r>
          </w:p>
          <w:p>
            <w:pPr>
              <w:spacing w:after="100"/>
            </w:pPr>
            <w:r>
              <w:t>Exemples livrés : avant.csv et apres.csv, 8 identifiants dont un avec valeurs inconnues. Les absences restent inconnues ; ne pas les remplacer par zéro.</w:t>
            </w:r>
          </w:p>
          <w:p>
            <w:pPr>
              <w:spacing w:after="100"/>
            </w:pPr>
            <w:r>
              <w:t>Les paramètres S2/S4 sont enregistrés en JSON et liés au fichier, à sa période et aux sélections. Le plan conserve les empreintes du code et du runtime.</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4</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PORTÉE DE LA LIVRAISON</w:t>
            </w:r>
          </w:p>
          <w:p>
            <w:pPr>
              <w:spacing w:after="100"/>
            </w:pPr>
            <w:r>
              <w:t>ZIP de sources et documents, sans conteneur, sans modèle téléchargé ni environnement Python préinstallé. Les données réelles et bases privées ne sont pas incluses.</w:t>
            </w:r>
          </w:p>
          <w:p>
            <w:pPr>
              <w:spacing w:after="100"/>
            </w:pPr>
            <w:r>
              <w:t>AgentOps reçoit ici des métadonnées après exécution. Les durées des spans exportés ne mesurent pas la durée du travail local.</w:t>
            </w:r>
          </w:p>
          <w:p>
            <w:pPr>
              <w:spacing w:after="100"/>
            </w:pPr>
            <w:r>
              <w:t>67 tests ont réussi dans un environnement Python neuf sur le poste de développement. La reproduction sur un autre ordinateur reste à vérifier.</w:t>
            </w:r>
          </w:p>
        </w:tc>
      </w:tr>
    </w:tbl>
    <w:p>
      <w:pPr>
        <w:spacing w:after="140" w:line="20" w:lineRule="exact"/>
      </w:pPr>
      <w:r>
        <w:rPr>
          <w:sz w:val="2"/>
        </w:rPr>
        <w:t xml:space="preserve"> </w:t>
      </w:r>
    </w:p>
    <w:p>
      <w:r>
        <w:br w:type="page"/>
      </w:r>
    </w:p>
    <w:p>
      <w:r>
        <w:rPr>
          <w:color w:val="EE735C"/>
        </w:rPr>
        <w:t>PARCOURS 14  /  14</w:t>
      </w:r>
    </w:p>
    <w:p>
      <w:pPr>
        <w:pStyle w:val="Heading1"/>
      </w:pPr>
      <w:r>
        <w:t>Références et vérification des sources</w:t>
      </w:r>
    </w:p>
    <w:p>
      <w:r>
        <w:t>Références officielles consultées le 17 octobre 2026. Les versions installées sont attestées par l’inventaire local et les fichiers du projet.</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1</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LANGAGE ET BASE EMBARQUÉE</w:t>
            </w:r>
          </w:p>
          <w:p>
            <w:pPr>
              <w:spacing w:after="100"/>
            </w:pPr>
            <w:r>
              <w:t>[R1] Python Software Foundation — documentation Python 3.12 : https://docs.python.org/3.12/</w:t>
            </w:r>
          </w:p>
          <w:p>
            <w:pPr>
              <w:spacing w:after="100"/>
            </w:pPr>
            <w:r>
              <w:t>[R2] Module sqlite3 — documentation et sqlite_version : https://docs.python.org/3.12/library/sqlite3.html</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2</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INTERFACE ET AGENTS</w:t>
            </w:r>
          </w:p>
          <w:p>
            <w:pPr>
              <w:spacing w:after="100"/>
            </w:pPr>
            <w:r>
              <w:t>[R3] Streamlit — documentation : https://docs.streamlit.io/</w:t>
            </w:r>
          </w:p>
          <w:p>
            <w:pPr>
              <w:spacing w:after="100"/>
            </w:pPr>
            <w:r>
              <w:t>[R4] Plotly — bibliothèque Python : https://plotly.com/python/</w:t>
            </w:r>
          </w:p>
          <w:p>
            <w:pPr>
              <w:spacing w:after="100"/>
            </w:pPr>
            <w:r>
              <w:t>[R5] CrewAI — documentation : https://docs.crewai.com/</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2C84A"/>
          </w:tcPr>
          <w:p>
            <w:pPr>
              <w:jc w:val="center"/>
            </w:pPr>
            <w:r>
              <w:rPr>
                <w:b/>
                <w:color w:val="006780"/>
                <w:sz w:val="44"/>
              </w:rPr>
              <w:t>3</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MOTEUR LOCAL ET SUIVI</w:t>
            </w:r>
          </w:p>
          <w:p>
            <w:pPr>
              <w:spacing w:after="100"/>
            </w:pPr>
            <w:r>
              <w:t>[R6] Ollama — publication utilisée : https://github.com/ollama/ollama/releases/tag/v0.40.5</w:t>
            </w:r>
          </w:p>
          <w:p>
            <w:pPr>
              <w:spacing w:after="100"/>
            </w:pPr>
            <w:r>
              <w:t>Installation Windows : https://docs.ollama.com/windows</w:t>
            </w:r>
          </w:p>
          <w:p>
            <w:pPr>
              <w:spacing w:after="100"/>
            </w:pPr>
            <w:r>
              <w:t>[R7] Ollama — fiche du modèle : https://ollama.com/library/qwen3:4b</w:t>
            </w:r>
          </w:p>
          <w:p>
            <w:pPr>
              <w:spacing w:after="100"/>
            </w:pPr>
            <w:r>
              <w:t>[R8] AgentOps — documentation : https://docs.agentops.ai/v2/introduction</w:t>
            </w:r>
          </w:p>
        </w:tc>
      </w:tr>
    </w:tbl>
    <w:p>
      <w:pPr>
        <w:spacing w:after="140" w:line="20" w:lineRule="exact"/>
      </w:pPr>
      <w:r>
        <w:rPr>
          <w:sz w:val="2"/>
        </w:rPr>
        <w:t xml:space="preserve"> </w:t>
      </w:r>
    </w:p>
    <w:tbl>
      <w:tblPr>
        <w:tblW w:type="auto" w:w="0"/>
        <w:jc w:val="center"/>
        <w:tblLayout w:type="fixed"/>
        <w:tblLook w:firstColumn="1" w:firstRow="1" w:lastColumn="0" w:lastRow="0" w:noHBand="0" w:noVBand="1" w:val="04A0"/>
      </w:tblPr>
      <w:tblGrid>
        <w:gridCol w:w="691"/>
        <w:gridCol w:w="9619"/>
      </w:tblGrid>
      <w:tr>
        <w:trPr>
          <w:cantSplit/>
        </w:trPr>
        <w:tc>
          <w:tcPr>
            <w:tcW w:type="dxa" w:w="691"/>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EE735C"/>
          </w:tcPr>
          <w:p>
            <w:pPr>
              <w:jc w:val="center"/>
            </w:pPr>
            <w:r>
              <w:rPr>
                <w:b/>
                <w:color w:val="006780"/>
                <w:sz w:val="44"/>
              </w:rPr>
              <w:t>4</w:t>
            </w:r>
          </w:p>
        </w:tc>
        <w:tc>
          <w:tcPr>
            <w:tcW w:type="dxa" w:w="9619"/>
            <w:vAlign w:val="center"/>
            <w:tcMar>
              <w:top w:w="145" w:type="dxa"/>
              <w:left w:w="145" w:type="dxa"/>
              <w:bottom w:w="145" w:type="dxa"/>
              <w:right w:w="145" w:type="dxa"/>
            </w:tcMar>
            <w:tcBorders>
              <w:top w:val="single" w:sz="5" w:color="85B5BD"/>
              <w:left w:val="single" w:sz="5" w:color="85B5BD"/>
              <w:bottom w:val="single" w:sz="5" w:color="85B5BD"/>
              <w:right w:val="single" w:sz="5" w:color="85B5BD"/>
            </w:tcBorders>
            <w:shd w:fill="FFF9E9"/>
          </w:tcPr>
          <w:p>
            <w:r>
              <w:rPr>
                <w:b/>
                <w:color w:val="006780"/>
                <w:sz w:val="22"/>
              </w:rPr>
              <w:t>PREUVES LOCALES À CONSULTER</w:t>
            </w:r>
          </w:p>
          <w:p>
            <w:pPr>
              <w:spacing w:after="100"/>
            </w:pPr>
            <w:r>
              <w:t>requirements.txt et requirements-agentops.txt : versions directes fixées ; README.md : installation.</w:t>
            </w:r>
          </w:p>
          <w:p>
            <w:pPr>
              <w:spacing w:after="100"/>
            </w:pPr>
            <w:r>
              <w:t>docs/modele_local.md : matériel, empreinte SHA-256 de la distribution Ollama et essai initial. docs/agents_locaux.md : limites du workflow.</w:t>
            </w:r>
          </w:p>
          <w:p>
            <w:pPr>
              <w:spacing w:after="100"/>
            </w:pPr>
            <w:r>
              <w:t>docs/campagne.md : protocole des vingt essais. docs/connexion_agentops.md : transmission et limites de l’observabilité.</w:t>
            </w:r>
          </w:p>
          <w:p>
            <w:pPr>
              <w:spacing w:after="100"/>
            </w:pPr>
            <w:r>
              <w:t>Les documentations en ligne évoluent : elles décrivent les produits, sans prouver à elles seules la configuration effectivement testée.</w:t>
            </w:r>
          </w:p>
        </w:tc>
      </w:tr>
    </w:tbl>
    <w:p>
      <w:pPr>
        <w:spacing w:after="140" w:line="20" w:lineRule="exact"/>
      </w:pPr>
      <w:r>
        <w:rPr>
          <w:sz w:val="2"/>
        </w:rPr>
        <w:t xml:space="preserve"> </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CLAUD·IA  |  Guide du 17 octobre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780"/>
      <w:sz w:val="4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67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678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Arial" w:hAnsi="Arial"/>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didactique pas à pas de l’observatoire multiagents</dc:title>
  <dc:subject>Installation et parcours pédagogique sur exemples fictifs</dc:subject>
  <dc:creator>CLAUD·IA</dc:creator>
  <cp:keywords/>
  <dc:description>generated by python-docx</dc:description>
  <cp:lastModifiedBy/>
  <cp:revision>1</cp:revision>
  <dcterms:created xsi:type="dcterms:W3CDTF">2013-12-23T23:15:00Z</dcterms:created>
  <dcterms:modified xsi:type="dcterms:W3CDTF">2013-12-23T23:15:00Z</dcterms:modified>
  <cp:category/>
</cp:coreProperties>
</file>