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5C8A"/>
          <w:sz w:val="32"/>
          <w:szCs w:val="32"/>
        </w:rPr>
        <w:t xml:space="preserve">NEW MEXICO RESTAURANT &amp; HOSPITALITY INDUSTRY REPORT</w:t>
      </w:r>
    </w:p>
    <w:p>
      <w:pPr>
        <w:spacing w:after="80" w:before="0"/>
      </w:pPr>
      <w:r>
        <w:rPr>
          <w:rFonts w:ascii="Arial" w:cs="Arial" w:eastAsia="Arial" w:hAnsi="Arial"/>
          <w:i/>
          <w:iCs/>
          <w:color w:val="666666"/>
          <w:sz w:val="20"/>
          <w:szCs w:val="20"/>
        </w:rPr>
        <w:t xml:space="preserve">Q1 2025 | Southwest Hospitality Industry Analysts</w:t>
      </w:r>
    </w:p>
    <w:p>
      <w:pPr>
        <w:pBdr>
          <w:bottom w:val="single" w:color="2E5C8A" w:sz="4" w:space="1"/>
        </w:pBdr>
        <w:spacing w:after="120" w:before="120"/>
      </w:pPr>
      <w:r>
        <w:t xml:space="preserve"/>
      </w:r>
    </w:p>
    <w:p>
      <w:pPr>
        <w:pStyle w:val="Heading1"/>
        <w:spacing w:after="160" w:before="320"/>
      </w:pPr>
      <w:r>
        <w:rPr>
          <w:rFonts w:ascii="Arial" w:cs="Arial" w:eastAsia="Arial" w:hAnsi="Arial"/>
          <w:b/>
          <w:bCs/>
          <w:color w:val="2E5C8A"/>
          <w:sz w:val="28"/>
          <w:szCs w:val="28"/>
        </w:rPr>
        <w:t xml:space="preserve">Industry Size and Composition</w:t>
      </w:r>
    </w:p>
    <w:p>
      <w:pPr>
        <w:spacing w:after="80" w:before="80"/>
      </w:pPr>
      <w:r>
        <w:rPr>
          <w:rFonts w:ascii="Arial" w:cs="Arial" w:eastAsia="Arial" w:hAnsi="Arial"/>
          <w:b w:val="false"/>
          <w:bCs w:val="false"/>
          <w:color w:val="222222"/>
          <w:sz w:val="22"/>
          <w:szCs w:val="22"/>
        </w:rPr>
        <w:t xml:space="preserve">New Mexico's restaurant and hospitality sector is a significant but fragmented industry dominated by independent operators and small regional chains. The state has approximately 4,800 active food service establishments as of Q1 2025.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6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color w:val="FFFFFF"/>
                <w:sz w:val="20"/>
                <w:szCs w:val="20"/>
              </w:rPr>
              <w:t xml:space="preserve">Estimated Count / Notes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Full-Service Restaurants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1,840 — includes fine dining, casual, family style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Quick Service / Fast Casual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1,920 — dominated by national chains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Hotels with Food 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380 — concentrated in Albuquerque and Santa Fe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Bars and Nightclubs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420 — largely independent operators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22222"/>
                <w:sz w:val="20"/>
                <w:szCs w:val="20"/>
              </w:rPr>
              <w:t xml:space="preserve">Catering and Event Venues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240 — strong growth segment</w:t>
            </w:r>
          </w:p>
        </w:tc>
      </w:tr>
    </w:tbl>
    <w:p>
      <w:pPr>
        <w:spacing w:after="80" w:before="80"/>
      </w:pPr>
      <w:r>
        <w:t xml:space="preserve"/>
      </w:r>
    </w:p>
    <w:p>
      <w:pPr>
        <w:pStyle w:val="Heading1"/>
        <w:spacing w:after="160" w:before="320"/>
      </w:pPr>
      <w:r>
        <w:rPr>
          <w:rFonts w:ascii="Arial" w:cs="Arial" w:eastAsia="Arial" w:hAnsi="Arial"/>
          <w:b/>
          <w:bCs/>
          <w:color w:val="2E5C8A"/>
          <w:sz w:val="28"/>
          <w:szCs w:val="28"/>
        </w:rPr>
        <w:t xml:space="preserve">Growth Trends by Segment</w:t>
      </w:r>
    </w:p>
    <w:p>
      <w:pPr>
        <w:pStyle w:val="Heading2"/>
        <w:spacing w:after="120" w:before="240"/>
      </w:pPr>
      <w:r>
        <w:rPr>
          <w:rFonts w:ascii="Arial" w:cs="Arial" w:eastAsia="Arial" w:hAnsi="Arial"/>
          <w:b/>
          <w:bCs/>
          <w:color w:val="1A3A5C"/>
          <w:sz w:val="24"/>
          <w:szCs w:val="24"/>
        </w:rPr>
        <w:t xml:space="preserve">Fine Dining and Upscale Casual</w:t>
      </w:r>
    </w:p>
    <w:p>
      <w:pPr>
        <w:spacing w:after="80" w:before="80"/>
      </w:pPr>
      <w:r>
        <w:rPr>
          <w:rFonts w:ascii="Arial" w:cs="Arial" w:eastAsia="Arial" w:hAnsi="Arial"/>
          <w:b w:val="false"/>
          <w:bCs w:val="false"/>
          <w:color w:val="222222"/>
          <w:sz w:val="22"/>
          <w:szCs w:val="22"/>
        </w:rPr>
        <w:t xml:space="preserve">Fine dining remains concentrated in Santa Fe, which has a nationally recognized restaurant scene driven by tourism. Performance data shows:</w:t>
      </w:r>
    </w:p>
    <w:p>
      <w:pPr>
        <w:pStyle w:val="ListParagraph"/>
        <w:numPr>
          <w:ilvl w:val="0"/>
          <w:numId w:val="2"/>
        </w:numPr>
        <w:spacing w:after="60" w:before="60"/>
      </w:pPr>
      <w:r>
        <w:rPr>
          <w:rFonts w:ascii="Arial" w:cs="Arial" w:eastAsia="Arial" w:hAnsi="Arial"/>
          <w:b w:val="false"/>
          <w:bCs w:val="false"/>
          <w:sz w:val="22"/>
          <w:szCs w:val="22"/>
        </w:rPr>
        <w:t xml:space="preserve">Santa Fe's fine dining segment revenue up 9.1% YoY in 2024 — one of the strongest in the Southwest</w:t>
      </w:r>
    </w:p>
    <w:p>
      <w:pPr>
        <w:pStyle w:val="ListParagraph"/>
        <w:numPr>
          <w:ilvl w:val="0"/>
          <w:numId w:val="2"/>
        </w:numPr>
        <w:spacing w:after="60" w:before="60"/>
      </w:pPr>
      <w:r>
        <w:rPr>
          <w:rFonts w:ascii="Arial" w:cs="Arial" w:eastAsia="Arial" w:hAnsi="Arial"/>
          <w:b w:val="false"/>
          <w:bCs w:val="false"/>
          <w:sz w:val="22"/>
          <w:szCs w:val="22"/>
        </w:rPr>
        <w:t xml:space="preserve">Albuquerque fine dining recovering slowly, still 8% below 2019 revenue levels</w:t>
      </w:r>
    </w:p>
    <w:p>
      <w:pPr>
        <w:pStyle w:val="ListParagraph"/>
        <w:numPr>
          <w:ilvl w:val="0"/>
          <w:numId w:val="2"/>
        </w:numPr>
        <w:spacing w:after="60" w:before="60"/>
      </w:pPr>
      <w:r>
        <w:rPr>
          <w:rFonts w:ascii="Arial" w:cs="Arial" w:eastAsia="Arial" w:hAnsi="Arial"/>
          <w:b w:val="false"/>
          <w:bCs w:val="false"/>
          <w:sz w:val="22"/>
          <w:szCs w:val="22"/>
        </w:rPr>
        <w:t xml:space="preserve">Average check size at upscale Santa Fe restaurants: $87 per person — competitive with Denver and Phoenix</w:t>
      </w:r>
    </w:p>
    <w:p>
      <w:pPr>
        <w:pStyle w:val="ListParagraph"/>
        <w:numPr>
          <w:ilvl w:val="0"/>
          <w:numId w:val="2"/>
        </w:numPr>
        <w:spacing w:after="60" w:before="60"/>
      </w:pPr>
      <w:r>
        <w:rPr>
          <w:rFonts w:ascii="Arial" w:cs="Arial" w:eastAsia="Arial" w:hAnsi="Arial"/>
          <w:b w:val="false"/>
          <w:bCs w:val="false"/>
          <w:sz w:val="22"/>
          <w:szCs w:val="22"/>
        </w:rPr>
        <w:t xml:space="preserve">Chef-driven concepts are opening at a faster rate in Santa Fe than any other NM market</w:t>
      </w:r>
    </w:p>
    <w:p>
      <w:pPr>
        <w:spacing w:after="80" w:before="80"/>
      </w:pPr>
      <w:r>
        <w:t xml:space="preserve"/>
      </w:r>
    </w:p>
    <w:p>
      <w:pPr>
        <w:pStyle w:val="Heading2"/>
        <w:spacing w:after="120" w:before="240"/>
      </w:pPr>
      <w:r>
        <w:rPr>
          <w:rFonts w:ascii="Arial" w:cs="Arial" w:eastAsia="Arial" w:hAnsi="Arial"/>
          <w:b/>
          <w:bCs/>
          <w:color w:val="1A3A5C"/>
          <w:sz w:val="24"/>
          <w:szCs w:val="24"/>
        </w:rPr>
        <w:t xml:space="preserve">Casual and Family Dining</w:t>
      </w:r>
    </w:p>
    <w:p>
      <w:pPr>
        <w:spacing w:after="80" w:before="80"/>
      </w:pPr>
      <w:r>
        <w:rPr>
          <w:rFonts w:ascii="Arial" w:cs="Arial" w:eastAsia="Arial" w:hAnsi="Arial"/>
          <w:b w:val="false"/>
          <w:bCs w:val="false"/>
          <w:color w:val="222222"/>
          <w:sz w:val="22"/>
          <w:szCs w:val="22"/>
        </w:rPr>
        <w:t xml:space="preserve">The largest segment by unit count, casual dining is showing steady but unspectacular growth:</w:t>
      </w:r>
    </w:p>
    <w:p>
      <w:pPr>
        <w:pStyle w:val="ListParagraph"/>
        <w:numPr>
          <w:ilvl w:val="0"/>
          <w:numId w:val="2"/>
        </w:numPr>
        <w:spacing w:after="60" w:before="60"/>
      </w:pPr>
      <w:r>
        <w:rPr>
          <w:rFonts w:ascii="Arial" w:cs="Arial" w:eastAsia="Arial" w:hAnsi="Arial"/>
          <w:b w:val="false"/>
          <w:bCs w:val="false"/>
          <w:sz w:val="22"/>
          <w:szCs w:val="22"/>
        </w:rPr>
        <w:t xml:space="preserve">Segment revenue grew 3.2% in 2024, with Q4 2024 showing acceleration to 4.1%</w:t>
      </w:r>
    </w:p>
    <w:p>
      <w:pPr>
        <w:pStyle w:val="ListParagraph"/>
        <w:numPr>
          <w:ilvl w:val="0"/>
          <w:numId w:val="2"/>
        </w:numPr>
        <w:spacing w:after="60" w:before="60"/>
      </w:pPr>
      <w:r>
        <w:rPr>
          <w:rFonts w:ascii="Arial" w:cs="Arial" w:eastAsia="Arial" w:hAnsi="Arial"/>
          <w:b w:val="false"/>
          <w:bCs w:val="false"/>
          <w:sz w:val="22"/>
          <w:szCs w:val="22"/>
        </w:rPr>
        <w:t xml:space="preserve">New Mexican cuisine (red and green chile focused) continues to drive strong local loyalty</w:t>
      </w:r>
    </w:p>
    <w:p>
      <w:pPr>
        <w:pStyle w:val="ListParagraph"/>
        <w:numPr>
          <w:ilvl w:val="0"/>
          <w:numId w:val="2"/>
        </w:numPr>
        <w:spacing w:after="60" w:before="60"/>
      </w:pPr>
      <w:r>
        <w:rPr>
          <w:rFonts w:ascii="Arial" w:cs="Arial" w:eastAsia="Arial" w:hAnsi="Arial"/>
          <w:b w:val="false"/>
          <w:bCs w:val="false"/>
          <w:sz w:val="22"/>
          <w:szCs w:val="22"/>
        </w:rPr>
        <w:t xml:space="preserve">National casual chains are net closing locations statewide — independent operators filling the gap</w:t>
      </w:r>
    </w:p>
    <w:p>
      <w:pPr>
        <w:pStyle w:val="ListParagraph"/>
        <w:numPr>
          <w:ilvl w:val="0"/>
          <w:numId w:val="2"/>
        </w:numPr>
        <w:spacing w:after="60" w:before="60"/>
      </w:pPr>
      <w:r>
        <w:rPr>
          <w:rFonts w:ascii="Arial" w:cs="Arial" w:eastAsia="Arial" w:hAnsi="Arial"/>
          <w:b w:val="false"/>
          <w:bCs w:val="false"/>
          <w:sz w:val="22"/>
          <w:szCs w:val="22"/>
        </w:rPr>
        <w:t xml:space="preserve">Albuquerque's casual dining occupancy rate at 68%, below the 74% breakeven threshold for most operators</w:t>
      </w:r>
    </w:p>
    <w:p>
      <w:pPr>
        <w:spacing w:after="80" w:before="80"/>
      </w:pPr>
      <w:r>
        <w:t xml:space="preserve"/>
      </w:r>
    </w:p>
    <w:p>
      <w:pPr>
        <w:pStyle w:val="Heading2"/>
        <w:spacing w:after="120" w:before="240"/>
      </w:pPr>
      <w:r>
        <w:rPr>
          <w:rFonts w:ascii="Arial" w:cs="Arial" w:eastAsia="Arial" w:hAnsi="Arial"/>
          <w:b/>
          <w:bCs/>
          <w:color w:val="1A3A5C"/>
          <w:sz w:val="24"/>
          <w:szCs w:val="24"/>
        </w:rPr>
        <w:t xml:space="preserve">Quick Service and Fast Casual</w:t>
      </w:r>
    </w:p>
    <w:p>
      <w:pPr>
        <w:spacing w:after="80" w:before="80"/>
      </w:pPr>
      <w:r>
        <w:rPr>
          <w:rFonts w:ascii="Arial" w:cs="Arial" w:eastAsia="Arial" w:hAnsi="Arial"/>
          <w:b w:val="false"/>
          <w:bCs w:val="false"/>
          <w:color w:val="222222"/>
          <w:sz w:val="22"/>
          <w:szCs w:val="22"/>
        </w:rPr>
        <w:t xml:space="preserve">The most resilient segment, driven by value-conscious consumers and national brand strength:</w:t>
      </w:r>
    </w:p>
    <w:p>
      <w:pPr>
        <w:pStyle w:val="ListParagraph"/>
        <w:numPr>
          <w:ilvl w:val="0"/>
          <w:numId w:val="2"/>
        </w:numPr>
        <w:spacing w:after="60" w:before="60"/>
      </w:pPr>
      <w:r>
        <w:rPr>
          <w:rFonts w:ascii="Arial" w:cs="Arial" w:eastAsia="Arial" w:hAnsi="Arial"/>
          <w:b w:val="false"/>
          <w:bCs w:val="false"/>
          <w:sz w:val="22"/>
          <w:szCs w:val="22"/>
        </w:rPr>
        <w:t xml:space="preserve">Fast casual segment grew 6.8% in 2024 — outperforming all other segments</w:t>
      </w:r>
    </w:p>
    <w:p>
      <w:pPr>
        <w:pStyle w:val="ListParagraph"/>
        <w:numPr>
          <w:ilvl w:val="0"/>
          <w:numId w:val="2"/>
        </w:numPr>
        <w:spacing w:after="60" w:before="60"/>
      </w:pPr>
      <w:r>
        <w:rPr>
          <w:rFonts w:ascii="Arial" w:cs="Arial" w:eastAsia="Arial" w:hAnsi="Arial"/>
          <w:b w:val="false"/>
          <w:bCs w:val="false"/>
          <w:sz w:val="22"/>
          <w:szCs w:val="22"/>
        </w:rPr>
        <w:t xml:space="preserve">12 new fast casual units opened in Albuquerque metro in Q1 2025 alone</w:t>
      </w:r>
    </w:p>
    <w:p>
      <w:pPr>
        <w:pStyle w:val="ListParagraph"/>
        <w:numPr>
          <w:ilvl w:val="0"/>
          <w:numId w:val="2"/>
        </w:numPr>
        <w:spacing w:after="60" w:before="60"/>
      </w:pPr>
      <w:r>
        <w:rPr>
          <w:rFonts w:ascii="Arial" w:cs="Arial" w:eastAsia="Arial" w:hAnsi="Arial"/>
          <w:b w:val="false"/>
          <w:bCs w:val="false"/>
          <w:sz w:val="22"/>
          <w:szCs w:val="22"/>
        </w:rPr>
        <w:t xml:space="preserve">Average unit volumes for fast casual in NM are 11% below national averages, reflecting lower consumer spending power</w:t>
      </w:r>
    </w:p>
    <w:p>
      <w:pPr>
        <w:spacing w:after="80" w:before="80"/>
      </w:pPr>
      <w:r>
        <w:t xml:space="preserve"/>
      </w:r>
    </w:p>
    <w:p>
      <w:pPr>
        <w:pStyle w:val="Heading1"/>
        <w:spacing w:after="160" w:before="320"/>
      </w:pPr>
      <w:r>
        <w:rPr>
          <w:rFonts w:ascii="Arial" w:cs="Arial" w:eastAsia="Arial" w:hAnsi="Arial"/>
          <w:b/>
          <w:bCs/>
          <w:color w:val="2E5C8A"/>
          <w:sz w:val="28"/>
          <w:szCs w:val="28"/>
        </w:rPr>
        <w:t xml:space="preserve">Commercial Kitchen Equipment — Industry Signals</w:t>
      </w:r>
    </w:p>
    <w:p>
      <w:pPr>
        <w:spacing w:after="80" w:before="80"/>
      </w:pPr>
      <w:r>
        <w:rPr>
          <w:rFonts w:ascii="Arial" w:cs="Arial" w:eastAsia="Arial" w:hAnsi="Arial"/>
          <w:b w:val="false"/>
          <w:bCs w:val="false"/>
          <w:color w:val="222222"/>
          <w:sz w:val="22"/>
          <w:szCs w:val="22"/>
        </w:rPr>
        <w:t xml:space="preserve">This section focuses specifically on indicators relevant to commercial kitchen equipment purchasing and investment decisions.</w:t>
      </w:r>
    </w:p>
    <w:p>
      <w:pPr>
        <w:spacing w:after="80" w:before="80"/>
      </w:pPr>
      <w:r>
        <w:t xml:space="preserve"/>
      </w:r>
    </w:p>
    <w:p>
      <w:pPr>
        <w:pStyle w:val="Heading2"/>
        <w:spacing w:after="120" w:before="240"/>
      </w:pPr>
      <w:r>
        <w:rPr>
          <w:rFonts w:ascii="Arial" w:cs="Arial" w:eastAsia="Arial" w:hAnsi="Arial"/>
          <w:b/>
          <w:bCs/>
          <w:color w:val="1A3A5C"/>
          <w:sz w:val="24"/>
          <w:szCs w:val="24"/>
        </w:rPr>
        <w:t xml:space="preserve">Equipment Investment Intentions</w:t>
      </w:r>
    </w:p>
    <w:p>
      <w:pPr>
        <w:pStyle w:val="ListParagraph"/>
        <w:numPr>
          <w:ilvl w:val="0"/>
          <w:numId w:val="2"/>
        </w:numPr>
        <w:spacing w:after="60" w:before="60"/>
      </w:pPr>
      <w:r>
        <w:rPr>
          <w:rFonts w:ascii="Arial" w:cs="Arial" w:eastAsia="Arial" w:hAnsi="Arial"/>
          <w:b w:val="false"/>
          <w:bCs w:val="false"/>
          <w:sz w:val="22"/>
          <w:szCs w:val="22"/>
        </w:rPr>
        <w:t xml:space="preserve">43% of New Mexico full-service restaurant operators surveyed in January 2025 indicated plans to invest in kitchen equipment upgrades in the next 12 months</w:t>
      </w:r>
    </w:p>
    <w:p>
      <w:pPr>
        <w:pStyle w:val="ListParagraph"/>
        <w:numPr>
          <w:ilvl w:val="0"/>
          <w:numId w:val="2"/>
        </w:numPr>
        <w:spacing w:after="60" w:before="60"/>
      </w:pPr>
      <w:r>
        <w:rPr>
          <w:rFonts w:ascii="Arial" w:cs="Arial" w:eastAsia="Arial" w:hAnsi="Arial"/>
          <w:b w:val="false"/>
          <w:bCs w:val="false"/>
          <w:sz w:val="22"/>
          <w:szCs w:val="22"/>
        </w:rPr>
        <w:t xml:space="preserve">Primary drivers of planned investment: aging equipment replacement (cited by 61%), energy efficiency upgrades (38%), menu expansion requiring new equipment (24%)</w:t>
      </w:r>
    </w:p>
    <w:p>
      <w:pPr>
        <w:pStyle w:val="ListParagraph"/>
        <w:numPr>
          <w:ilvl w:val="0"/>
          <w:numId w:val="2"/>
        </w:numPr>
        <w:spacing w:after="60" w:before="60"/>
      </w:pPr>
      <w:r>
        <w:rPr>
          <w:rFonts w:ascii="Arial" w:cs="Arial" w:eastAsia="Arial" w:hAnsi="Arial"/>
          <w:b w:val="false"/>
          <w:bCs w:val="false"/>
          <w:sz w:val="22"/>
          <w:szCs w:val="22"/>
        </w:rPr>
        <w:t xml:space="preserve">Average planned equipment budget per operator: $28,000 — below the national average of $41,000</w:t>
      </w:r>
    </w:p>
    <w:p>
      <w:pPr>
        <w:pStyle w:val="ListParagraph"/>
        <w:numPr>
          <w:ilvl w:val="0"/>
          <w:numId w:val="2"/>
        </w:numPr>
        <w:spacing w:after="60" w:before="60"/>
      </w:pPr>
      <w:r>
        <w:rPr>
          <w:rFonts w:ascii="Arial" w:cs="Arial" w:eastAsia="Arial" w:hAnsi="Arial"/>
          <w:b w:val="false"/>
          <w:bCs w:val="false"/>
          <w:sz w:val="22"/>
          <w:szCs w:val="22"/>
        </w:rPr>
        <w:t xml:space="preserve">Hotels with food service show the strongest equipment investment intentions — 67% planning upgrades in 2025</w:t>
      </w:r>
    </w:p>
    <w:p>
      <w:pPr>
        <w:pStyle w:val="ListParagraph"/>
        <w:numPr>
          <w:ilvl w:val="0"/>
          <w:numId w:val="2"/>
        </w:numPr>
        <w:spacing w:after="60" w:before="60"/>
      </w:pPr>
      <w:r>
        <w:rPr>
          <w:rFonts w:ascii="Arial" w:cs="Arial" w:eastAsia="Arial" w:hAnsi="Arial"/>
          <w:b w:val="false"/>
          <w:bCs w:val="false"/>
          <w:sz w:val="22"/>
          <w:szCs w:val="22"/>
        </w:rPr>
        <w:t xml:space="preserve">Fast casual operators are actively investing in automation equipment, including automated fryers and prep systems</w:t>
      </w:r>
    </w:p>
    <w:p>
      <w:pPr>
        <w:spacing w:after="80" w:before="80"/>
      </w:pPr>
      <w:r>
        <w:t xml:space="preserve"/>
      </w:r>
    </w:p>
    <w:p>
      <w:pPr>
        <w:pStyle w:val="Heading2"/>
        <w:spacing w:after="120" w:before="240"/>
      </w:pPr>
      <w:r>
        <w:rPr>
          <w:rFonts w:ascii="Arial" w:cs="Arial" w:eastAsia="Arial" w:hAnsi="Arial"/>
          <w:b/>
          <w:bCs/>
          <w:color w:val="1A3A5C"/>
          <w:sz w:val="24"/>
          <w:szCs w:val="24"/>
        </w:rPr>
        <w:t xml:space="preserve">Equipment Replacement Cycles</w:t>
      </w:r>
    </w:p>
    <w:p>
      <w:pPr>
        <w:pStyle w:val="ListParagraph"/>
        <w:numPr>
          <w:ilvl w:val="0"/>
          <w:numId w:val="2"/>
        </w:numPr>
        <w:spacing w:after="60" w:before="60"/>
      </w:pPr>
      <w:r>
        <w:rPr>
          <w:rFonts w:ascii="Arial" w:cs="Arial" w:eastAsia="Arial" w:hAnsi="Arial"/>
          <w:b w:val="false"/>
          <w:bCs w:val="false"/>
          <w:sz w:val="22"/>
          <w:szCs w:val="22"/>
        </w:rPr>
        <w:t xml:space="preserve">Estimated 34% of commercial kitchen equipment statewide is over 10 years old — above national average of 27%</w:t>
      </w:r>
    </w:p>
    <w:p>
      <w:pPr>
        <w:pStyle w:val="ListParagraph"/>
        <w:numPr>
          <w:ilvl w:val="0"/>
          <w:numId w:val="2"/>
        </w:numPr>
        <w:spacing w:after="60" w:before="60"/>
      </w:pPr>
      <w:r>
        <w:rPr>
          <w:rFonts w:ascii="Arial" w:cs="Arial" w:eastAsia="Arial" w:hAnsi="Arial"/>
          <w:b w:val="false"/>
          <w:bCs w:val="false"/>
          <w:sz w:val="22"/>
          <w:szCs w:val="22"/>
        </w:rPr>
        <w:t xml:space="preserve">Post-COVID deferred maintenance is creating a backlog of replacement needs that is beginning to materialize</w:t>
      </w:r>
    </w:p>
    <w:p>
      <w:pPr>
        <w:pStyle w:val="ListParagraph"/>
        <w:numPr>
          <w:ilvl w:val="0"/>
          <w:numId w:val="2"/>
        </w:numPr>
        <w:spacing w:after="60" w:before="60"/>
      </w:pPr>
      <w:r>
        <w:rPr>
          <w:rFonts w:ascii="Arial" w:cs="Arial" w:eastAsia="Arial" w:hAnsi="Arial"/>
          <w:b w:val="false"/>
          <w:bCs w:val="false"/>
          <w:sz w:val="22"/>
          <w:szCs w:val="22"/>
        </w:rPr>
        <w:t xml:space="preserve">Operators citing budget constraints as the primary barrier to equipment investment: 52%</w:t>
      </w:r>
    </w:p>
    <w:p>
      <w:pPr>
        <w:pStyle w:val="ListParagraph"/>
        <w:numPr>
          <w:ilvl w:val="0"/>
          <w:numId w:val="2"/>
        </w:numPr>
        <w:spacing w:after="60" w:before="60"/>
      </w:pPr>
      <w:r>
        <w:rPr>
          <w:rFonts w:ascii="Arial" w:cs="Arial" w:eastAsia="Arial" w:hAnsi="Arial"/>
          <w:b w:val="false"/>
          <w:bCs w:val="false"/>
          <w:sz w:val="22"/>
          <w:szCs w:val="22"/>
        </w:rPr>
        <w:t xml:space="preserve">Financing and leasing interest is rising — 38% of operators expressed interest in equipment financing vs. outright purchase</w:t>
      </w:r>
    </w:p>
    <w:p>
      <w:pPr>
        <w:spacing w:after="80" w:before="80"/>
      </w:pPr>
      <w:r>
        <w:t xml:space="preserve"/>
      </w:r>
    </w:p>
    <w:p>
      <w:pPr>
        <w:pStyle w:val="Heading1"/>
        <w:spacing w:after="160" w:before="320"/>
      </w:pPr>
      <w:r>
        <w:rPr>
          <w:rFonts w:ascii="Arial" w:cs="Arial" w:eastAsia="Arial" w:hAnsi="Arial"/>
          <w:b/>
          <w:bCs/>
          <w:color w:val="2E5C8A"/>
          <w:sz w:val="28"/>
          <w:szCs w:val="28"/>
        </w:rPr>
        <w:t xml:space="preserve">Key Markets Within New Mexico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24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Est. Establishments</w:t>
            </w:r>
          </w:p>
        </w:tc>
        <w:tc>
          <w:tcPr>
            <w:tcW w:type="dxa" w:w="240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Growth Trend</w:t>
            </w:r>
          </w:p>
        </w:tc>
        <w:tc>
          <w:tcPr>
            <w:tcW w:type="dxa" w:w="2160"/>
            <w:tcBorders>
              <w:top w:val="single" w:color="2E5C8A" w:sz="1"/>
              <w:left w:val="single" w:color="2E5C8A" w:sz="1"/>
              <w:bottom w:val="single" w:color="2E5C8A" w:sz="1"/>
              <w:right w:val="single" w:color="2E5C8A"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Equipment Demand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Albuquerque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(+3.1%)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Santa 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(+9.1%)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Las Cruces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(+1.8%)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Low-Medium</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Seasonal (+5.4%)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80" w:before="80"/>
      </w:pPr>
      <w:r>
        <w:t xml:space="preserve"/>
      </w:r>
    </w:p>
    <w:p>
      <w:pPr>
        <w:pStyle w:val="Heading1"/>
        <w:spacing w:after="160" w:before="320"/>
      </w:pPr>
      <w:r>
        <w:rPr>
          <w:rFonts w:ascii="Arial" w:cs="Arial" w:eastAsia="Arial" w:hAnsi="Arial"/>
          <w:b/>
          <w:bCs/>
          <w:color w:val="2E5C8A"/>
          <w:sz w:val="28"/>
          <w:szCs w:val="28"/>
        </w:rPr>
        <w:t xml:space="preserve">Summary Assessment</w:t>
      </w:r>
    </w:p>
    <w:p>
      <w:pPr>
        <w:spacing w:after="80" w:before="80"/>
      </w:pPr>
      <w:r>
        <w:rPr>
          <w:rFonts w:ascii="Arial" w:cs="Arial" w:eastAsia="Arial" w:hAnsi="Arial"/>
          <w:b w:val="false"/>
          <w:bCs w:val="false"/>
          <w:color w:val="222222"/>
          <w:sz w:val="22"/>
          <w:szCs w:val="22"/>
        </w:rPr>
        <w:t xml:space="preserve">New Mexico's restaurant and hospitality sector offers a genuine but uneven opportunity for equipment suppliers. The state's high poverty rate and lower average unit volumes create real constraints on average deal size, but the volume of establishments, aging equipment stock, and post-COVID replacement cycle creates a pipeline of potential business. Santa Fe represents a disproportionate opportunity relative to its size.</w:t>
      </w:r>
    </w:p>
    <w:p>
      <w:pPr>
        <w:spacing w:after="80" w:before="80"/>
      </w:pPr>
      <w:r>
        <w:t xml:space="preserve"/>
      </w:r>
    </w:p>
    <w:p>
      <w:pPr>
        <w:spacing w:after="80" w:before="80"/>
      </w:pPr>
      <w:r>
        <w:rPr>
          <w:rFonts w:ascii="Arial" w:cs="Arial" w:eastAsia="Arial" w:hAnsi="Arial"/>
          <w:b w:val="false"/>
          <w:bCs w:val="false"/>
          <w:color w:val="888888"/>
          <w:sz w:val="22"/>
          <w:szCs w:val="22"/>
        </w:rPr>
        <w:t xml:space="preserve">Prepared by: Southwest Hospitality Industry Analysts | March 2025 | For internal planning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2026-03-13T14:18:08.387Z</dcterms:created>
  <dcterms:modified xsi:type="dcterms:W3CDTF">2026-03-13T14:18:08.387Z</dcterms:modified>
</cp:coreProperties>
</file>

<file path=docProps/custom.xml><?xml version="1.0" encoding="utf-8"?>
<Properties xmlns="http://schemas.openxmlformats.org/officeDocument/2006/custom-properties" xmlns:vt="http://schemas.openxmlformats.org/officeDocument/2006/docPropsVTypes"/>
</file>