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2E5C8A"/>
          <w:sz w:val="32"/>
          <w:szCs w:val="32"/>
        </w:rPr>
        <w:t xml:space="preserve">NEW MEXICO MARKET: COMPETITOR ACTIVITY SUMMARY</w:t>
      </w:r>
    </w:p>
    <w:p>
      <w:pPr>
        <w:spacing w:after="80" w:before="0"/>
      </w:pPr>
      <w:r>
        <w:rPr>
          <w:rFonts w:ascii="Arial" w:cs="Arial" w:eastAsia="Arial" w:hAnsi="Arial"/>
          <w:i/>
          <w:iCs/>
          <w:color w:val="666666"/>
          <w:sz w:val="20"/>
          <w:szCs w:val="20"/>
        </w:rPr>
        <w:t xml:space="preserve">Prepared for Internal Strategy Use | March 2025</w:t>
      </w:r>
    </w:p>
    <w:p>
      <w:pPr>
        <w:pBdr>
          <w:bottom w:val="single" w:color="2E5C8A" w:sz="4" w:space="1"/>
        </w:pBdr>
        <w:spacing w:after="120" w:before="120"/>
      </w:pPr>
      <w:r>
        <w:t xml:space="preserve"/>
      </w:r>
    </w:p>
    <w:p>
      <w:pPr>
        <w:pStyle w:val="Heading1"/>
        <w:spacing w:after="160" w:before="320"/>
      </w:pPr>
      <w:r>
        <w:rPr>
          <w:rFonts w:ascii="Arial" w:cs="Arial" w:eastAsia="Arial" w:hAnsi="Arial"/>
          <w:b/>
          <w:bCs/>
          <w:color w:val="2E5C8A"/>
          <w:sz w:val="28"/>
          <w:szCs w:val="28"/>
        </w:rPr>
        <w:t xml:space="preserve">Market Coverage Overview</w:t>
      </w:r>
    </w:p>
    <w:p>
      <w:pPr>
        <w:spacing w:after="80" w:before="80"/>
      </w:pPr>
      <w:r>
        <w:rPr>
          <w:rFonts w:ascii="Arial" w:cs="Arial" w:eastAsia="Arial" w:hAnsi="Arial"/>
          <w:b w:val="false"/>
          <w:bCs w:val="false"/>
          <w:color w:val="222222"/>
          <w:sz w:val="22"/>
          <w:szCs w:val="22"/>
        </w:rPr>
        <w:t xml:space="preserve">The New Mexico commercial kitchen equipment market is currently served by a mix of national distributors, regional players, and direct manufacturer sales reps. The market is not heavily consolidated, presenting both opportunity and competitive risk for a new entrant.</w:t>
      </w:r>
    </w:p>
    <w:p>
      <w:pPr>
        <w:spacing w:after="80" w:before="80"/>
      </w:pPr>
      <w:r>
        <w:t xml:space="preserve"/>
      </w:r>
    </w:p>
    <w:p>
      <w:pPr>
        <w:pStyle w:val="Heading1"/>
        <w:spacing w:after="160" w:before="320"/>
      </w:pPr>
      <w:r>
        <w:rPr>
          <w:rFonts w:ascii="Arial" w:cs="Arial" w:eastAsia="Arial" w:hAnsi="Arial"/>
          <w:b/>
          <w:bCs/>
          <w:color w:val="2E5C8A"/>
          <w:sz w:val="28"/>
          <w:szCs w:val="28"/>
        </w:rPr>
        <w:t xml:space="preserve">Key Competitors Operating in New Mexico</w:t>
      </w:r>
    </w:p>
    <w:p>
      <w:pPr>
        <w:spacing w:after="80" w:before="80"/>
      </w:pPr>
      <w:r>
        <w:t xml:space="preserve"/>
      </w:r>
    </w:p>
    <w:p>
      <w:pPr>
        <w:pStyle w:val="Heading2"/>
        <w:spacing w:after="120" w:before="240"/>
      </w:pPr>
      <w:r>
        <w:rPr>
          <w:rFonts w:ascii="Arial" w:cs="Arial" w:eastAsia="Arial" w:hAnsi="Arial"/>
          <w:b/>
          <w:bCs/>
          <w:color w:val="1A3A5C"/>
          <w:sz w:val="24"/>
          <w:szCs w:val="24"/>
        </w:rPr>
        <w:t xml:space="preserve">Southwest Foodservice Solutions (Albuquerque, NM)</w:t>
      </w:r>
    </w:p>
    <w:p>
      <w:pPr>
        <w:spacing w:after="80" w:before="80"/>
      </w:pPr>
      <w:r>
        <w:rPr>
          <w:rFonts w:ascii="Arial" w:cs="Arial" w:eastAsia="Arial" w:hAnsi="Arial"/>
          <w:b w:val="false"/>
          <w:bCs w:val="false"/>
          <w:color w:val="222222"/>
          <w:sz w:val="22"/>
          <w:szCs w:val="22"/>
        </w:rPr>
        <w:t xml:space="preserve">The dominant regional player and the most significant competitive threat.</w:t>
      </w:r>
    </w:p>
    <w:p>
      <w:pPr>
        <w:pStyle w:val="ListParagraph"/>
        <w:numPr>
          <w:ilvl w:val="0"/>
          <w:numId w:val="2"/>
        </w:numPr>
        <w:spacing w:after="60" w:before="60"/>
      </w:pPr>
      <w:r>
        <w:rPr>
          <w:rFonts w:ascii="Arial" w:cs="Arial" w:eastAsia="Arial" w:hAnsi="Arial"/>
          <w:b w:val="false"/>
          <w:bCs w:val="false"/>
          <w:sz w:val="22"/>
          <w:szCs w:val="22"/>
        </w:rPr>
        <w:t xml:space="preserve">Headquartered in Albuquerque with a warehouse and service center — significant local presence advantage</w:t>
      </w:r>
    </w:p>
    <w:p>
      <w:pPr>
        <w:pStyle w:val="ListParagraph"/>
        <w:numPr>
          <w:ilvl w:val="0"/>
          <w:numId w:val="2"/>
        </w:numPr>
        <w:spacing w:after="60" w:before="60"/>
      </w:pPr>
      <w:r>
        <w:rPr>
          <w:rFonts w:ascii="Arial" w:cs="Arial" w:eastAsia="Arial" w:hAnsi="Arial"/>
          <w:b w:val="false"/>
          <w:bCs w:val="false"/>
          <w:sz w:val="22"/>
          <w:szCs w:val="22"/>
        </w:rPr>
        <w:t xml:space="preserve">Estimated annual revenue: $14-18M in NM market</w:t>
      </w:r>
    </w:p>
    <w:p>
      <w:pPr>
        <w:pStyle w:val="ListParagraph"/>
        <w:numPr>
          <w:ilvl w:val="0"/>
          <w:numId w:val="2"/>
        </w:numPr>
        <w:spacing w:after="60" w:before="60"/>
      </w:pPr>
      <w:r>
        <w:rPr>
          <w:rFonts w:ascii="Arial" w:cs="Arial" w:eastAsia="Arial" w:hAnsi="Arial"/>
          <w:b w:val="false"/>
          <w:bCs w:val="false"/>
          <w:sz w:val="22"/>
          <w:szCs w:val="22"/>
        </w:rPr>
        <w:t xml:space="preserve">Serves approximately 600 active accounts statewide</w:t>
      </w:r>
    </w:p>
    <w:p>
      <w:pPr>
        <w:pStyle w:val="ListParagraph"/>
        <w:numPr>
          <w:ilvl w:val="0"/>
          <w:numId w:val="2"/>
        </w:numPr>
        <w:spacing w:after="60" w:before="60"/>
      </w:pPr>
      <w:r>
        <w:rPr>
          <w:rFonts w:ascii="Arial" w:cs="Arial" w:eastAsia="Arial" w:hAnsi="Arial"/>
          <w:b w:val="false"/>
          <w:bCs w:val="false"/>
          <w:sz w:val="22"/>
          <w:szCs w:val="22"/>
        </w:rPr>
        <w:t xml:space="preserve">Strong relationships with Albuquerque Unified School District, state government cafeterias, and mid-scale hotel chains</w:t>
      </w:r>
    </w:p>
    <w:p>
      <w:pPr>
        <w:pStyle w:val="ListParagraph"/>
        <w:numPr>
          <w:ilvl w:val="0"/>
          <w:numId w:val="2"/>
        </w:numPr>
        <w:spacing w:after="60" w:before="60"/>
      </w:pPr>
      <w:r>
        <w:rPr>
          <w:rFonts w:ascii="Arial" w:cs="Arial" w:eastAsia="Arial" w:hAnsi="Arial"/>
          <w:b w:val="false"/>
          <w:bCs w:val="false"/>
          <w:sz w:val="22"/>
          <w:szCs w:val="22"/>
        </w:rPr>
        <w:t xml:space="preserve">Weakness: limited fine dining and upscale hospitality focus — Santa Fe market is underpenetrated</w:t>
      </w:r>
    </w:p>
    <w:p>
      <w:pPr>
        <w:pStyle w:val="ListParagraph"/>
        <w:numPr>
          <w:ilvl w:val="0"/>
          <w:numId w:val="2"/>
        </w:numPr>
        <w:spacing w:after="60" w:before="60"/>
      </w:pPr>
      <w:r>
        <w:rPr>
          <w:rFonts w:ascii="Arial" w:cs="Arial" w:eastAsia="Arial" w:hAnsi="Arial"/>
          <w:b w:val="false"/>
          <w:bCs w:val="false"/>
          <w:sz w:val="22"/>
          <w:szCs w:val="22"/>
        </w:rPr>
        <w:t xml:space="preserve">Recently lost two senior sales reps to retirement with no clear successors identified</w:t>
      </w:r>
    </w:p>
    <w:p>
      <w:pPr>
        <w:pStyle w:val="ListParagraph"/>
        <w:numPr>
          <w:ilvl w:val="0"/>
          <w:numId w:val="2"/>
        </w:numPr>
        <w:spacing w:after="60" w:before="60"/>
      </w:pPr>
      <w:r>
        <w:rPr>
          <w:rFonts w:ascii="Arial" w:cs="Arial" w:eastAsia="Arial" w:hAnsi="Arial"/>
          <w:b w:val="false"/>
          <w:bCs w:val="false"/>
          <w:sz w:val="22"/>
          <w:szCs w:val="22"/>
        </w:rPr>
        <w:t xml:space="preserve">No current eCommerce or digital ordering capability — orders are phone and email based</w:t>
      </w:r>
    </w:p>
    <w:p>
      <w:pPr>
        <w:spacing w:after="80" w:before="80"/>
      </w:pPr>
      <w:r>
        <w:t xml:space="preserve"/>
      </w:r>
    </w:p>
    <w:p>
      <w:pPr>
        <w:pStyle w:val="Heading2"/>
        <w:spacing w:after="120" w:before="240"/>
      </w:pPr>
      <w:r>
        <w:rPr>
          <w:rFonts w:ascii="Arial" w:cs="Arial" w:eastAsia="Arial" w:hAnsi="Arial"/>
          <w:b/>
          <w:bCs/>
          <w:color w:val="1A3A5C"/>
          <w:sz w:val="24"/>
          <w:szCs w:val="24"/>
        </w:rPr>
        <w:t xml:space="preserve">National Equipment Co. (Phoenix, AZ — regional coverage)</w:t>
      </w:r>
    </w:p>
    <w:p>
      <w:pPr>
        <w:spacing w:after="80" w:before="80"/>
      </w:pPr>
      <w:r>
        <w:rPr>
          <w:rFonts w:ascii="Arial" w:cs="Arial" w:eastAsia="Arial" w:hAnsi="Arial"/>
          <w:b w:val="false"/>
          <w:bCs w:val="false"/>
          <w:color w:val="222222"/>
          <w:sz w:val="22"/>
          <w:szCs w:val="22"/>
        </w:rPr>
        <w:t xml:space="preserve">A large national distributor with Southwest regional coverage but thin NM-specific presence.</w:t>
      </w:r>
    </w:p>
    <w:p>
      <w:pPr>
        <w:pStyle w:val="ListParagraph"/>
        <w:numPr>
          <w:ilvl w:val="0"/>
          <w:numId w:val="2"/>
        </w:numPr>
        <w:spacing w:after="60" w:before="60"/>
      </w:pPr>
      <w:r>
        <w:rPr>
          <w:rFonts w:ascii="Arial" w:cs="Arial" w:eastAsia="Arial" w:hAnsi="Arial"/>
          <w:b w:val="false"/>
          <w:bCs w:val="false"/>
          <w:sz w:val="22"/>
          <w:szCs w:val="22"/>
        </w:rPr>
        <w:t xml:space="preserve">Covers New Mexico out of their Phoenix office — sales reps visit quarterly at best</w:t>
      </w:r>
    </w:p>
    <w:p>
      <w:pPr>
        <w:pStyle w:val="ListParagraph"/>
        <w:numPr>
          <w:ilvl w:val="0"/>
          <w:numId w:val="2"/>
        </w:numPr>
        <w:spacing w:after="60" w:before="60"/>
      </w:pPr>
      <w:r>
        <w:rPr>
          <w:rFonts w:ascii="Arial" w:cs="Arial" w:eastAsia="Arial" w:hAnsi="Arial"/>
          <w:b w:val="false"/>
          <w:bCs w:val="false"/>
          <w:sz w:val="22"/>
          <w:szCs w:val="22"/>
        </w:rPr>
        <w:t xml:space="preserve">Strong brand relationships (Rational, Hobart, Manitowoc) give them leverage on large projects</w:t>
      </w:r>
    </w:p>
    <w:p>
      <w:pPr>
        <w:pStyle w:val="ListParagraph"/>
        <w:numPr>
          <w:ilvl w:val="0"/>
          <w:numId w:val="2"/>
        </w:numPr>
        <w:spacing w:after="60" w:before="60"/>
      </w:pPr>
      <w:r>
        <w:rPr>
          <w:rFonts w:ascii="Arial" w:cs="Arial" w:eastAsia="Arial" w:hAnsi="Arial"/>
          <w:b w:val="false"/>
          <w:bCs w:val="false"/>
          <w:sz w:val="22"/>
          <w:szCs w:val="22"/>
        </w:rPr>
        <w:t xml:space="preserve">Primarily focused on national chain accounts — limited interest in independent operators</w:t>
      </w:r>
    </w:p>
    <w:p>
      <w:pPr>
        <w:pStyle w:val="ListParagraph"/>
        <w:numPr>
          <w:ilvl w:val="0"/>
          <w:numId w:val="2"/>
        </w:numPr>
        <w:spacing w:after="60" w:before="60"/>
      </w:pPr>
      <w:r>
        <w:rPr>
          <w:rFonts w:ascii="Arial" w:cs="Arial" w:eastAsia="Arial" w:hAnsi="Arial"/>
          <w:b w:val="false"/>
          <w:bCs w:val="false"/>
          <w:sz w:val="22"/>
          <w:szCs w:val="22"/>
        </w:rPr>
        <w:t xml:space="preserve">Pricing is competitive on large orders but non-competitive on small to mid-size purchases</w:t>
      </w:r>
    </w:p>
    <w:p>
      <w:pPr>
        <w:pStyle w:val="ListParagraph"/>
        <w:numPr>
          <w:ilvl w:val="0"/>
          <w:numId w:val="2"/>
        </w:numPr>
        <w:spacing w:after="60" w:before="60"/>
      </w:pPr>
      <w:r>
        <w:rPr>
          <w:rFonts w:ascii="Arial" w:cs="Arial" w:eastAsia="Arial" w:hAnsi="Arial"/>
          <w:b w:val="false"/>
          <w:bCs w:val="false"/>
          <w:sz w:val="22"/>
          <w:szCs w:val="22"/>
        </w:rPr>
        <w:t xml:space="preserve">Service response times reported as 5-9 days — a significant vulnerability in the market</w:t>
      </w:r>
    </w:p>
    <w:p>
      <w:pPr>
        <w:pStyle w:val="ListParagraph"/>
        <w:numPr>
          <w:ilvl w:val="0"/>
          <w:numId w:val="2"/>
        </w:numPr>
        <w:spacing w:after="60" w:before="60"/>
      </w:pPr>
      <w:r>
        <w:rPr>
          <w:rFonts w:ascii="Arial" w:cs="Arial" w:eastAsia="Arial" w:hAnsi="Arial"/>
          <w:b w:val="false"/>
          <w:bCs w:val="false"/>
          <w:sz w:val="22"/>
          <w:szCs w:val="22"/>
        </w:rPr>
        <w:t xml:space="preserve">No local inventory; all equipment ships from Phoenix or direct from manufacturer</w:t>
      </w:r>
    </w:p>
    <w:p>
      <w:pPr>
        <w:spacing w:after="80" w:before="80"/>
      </w:pPr>
      <w:r>
        <w:t xml:space="preserve"/>
      </w:r>
    </w:p>
    <w:p>
      <w:pPr>
        <w:pStyle w:val="Heading2"/>
        <w:spacing w:after="120" w:before="240"/>
      </w:pPr>
      <w:r>
        <w:rPr>
          <w:rFonts w:ascii="Arial" w:cs="Arial" w:eastAsia="Arial" w:hAnsi="Arial"/>
          <w:b/>
          <w:bCs/>
          <w:color w:val="1A3A5C"/>
          <w:sz w:val="24"/>
          <w:szCs w:val="24"/>
        </w:rPr>
        <w:t xml:space="preserve">El Paso Kitchen Supply (El Paso, TX — border market overlap)</w:t>
      </w:r>
    </w:p>
    <w:p>
      <w:pPr>
        <w:spacing w:after="80" w:before="80"/>
      </w:pPr>
      <w:r>
        <w:rPr>
          <w:rFonts w:ascii="Arial" w:cs="Arial" w:eastAsia="Arial" w:hAnsi="Arial"/>
          <w:b w:val="false"/>
          <w:bCs w:val="false"/>
          <w:color w:val="222222"/>
          <w:sz w:val="22"/>
          <w:szCs w:val="22"/>
        </w:rPr>
        <w:t xml:space="preserve">A regional Texas-based distributor with incidental coverage of southern New Mexico.</w:t>
      </w:r>
    </w:p>
    <w:p>
      <w:pPr>
        <w:pStyle w:val="ListParagraph"/>
        <w:numPr>
          <w:ilvl w:val="0"/>
          <w:numId w:val="2"/>
        </w:numPr>
        <w:spacing w:after="60" w:before="60"/>
      </w:pPr>
      <w:r>
        <w:rPr>
          <w:rFonts w:ascii="Arial" w:cs="Arial" w:eastAsia="Arial" w:hAnsi="Arial"/>
          <w:b w:val="false"/>
          <w:bCs w:val="false"/>
          <w:sz w:val="22"/>
          <w:szCs w:val="22"/>
        </w:rPr>
        <w:t xml:space="preserve">Primarily serves El Paso and West Texas — NM business is opportunistic, not strategic for them</w:t>
      </w:r>
    </w:p>
    <w:p>
      <w:pPr>
        <w:pStyle w:val="ListParagraph"/>
        <w:numPr>
          <w:ilvl w:val="0"/>
          <w:numId w:val="2"/>
        </w:numPr>
        <w:spacing w:after="60" w:before="60"/>
      </w:pPr>
      <w:r>
        <w:rPr>
          <w:rFonts w:ascii="Arial" w:cs="Arial" w:eastAsia="Arial" w:hAnsi="Arial"/>
          <w:b w:val="false"/>
          <w:bCs w:val="false"/>
          <w:sz w:val="22"/>
          <w:szCs w:val="22"/>
        </w:rPr>
        <w:t xml:space="preserve">Active in Las Cruces market due to geographic proximity</w:t>
      </w:r>
    </w:p>
    <w:p>
      <w:pPr>
        <w:pStyle w:val="ListParagraph"/>
        <w:numPr>
          <w:ilvl w:val="0"/>
          <w:numId w:val="2"/>
        </w:numPr>
        <w:spacing w:after="60" w:before="60"/>
      </w:pPr>
      <w:r>
        <w:rPr>
          <w:rFonts w:ascii="Arial" w:cs="Arial" w:eastAsia="Arial" w:hAnsi="Arial"/>
          <w:b w:val="false"/>
          <w:bCs w:val="false"/>
          <w:sz w:val="22"/>
          <w:szCs w:val="22"/>
        </w:rPr>
        <w:t xml:space="preserve">Limited product range compared to full-line distributors</w:t>
      </w:r>
    </w:p>
    <w:p>
      <w:pPr>
        <w:pStyle w:val="ListParagraph"/>
        <w:numPr>
          <w:ilvl w:val="0"/>
          <w:numId w:val="2"/>
        </w:numPr>
        <w:spacing w:after="60" w:before="60"/>
      </w:pPr>
      <w:r>
        <w:rPr>
          <w:rFonts w:ascii="Arial" w:cs="Arial" w:eastAsia="Arial" w:hAnsi="Arial"/>
          <w:b w:val="false"/>
          <w:bCs w:val="false"/>
          <w:sz w:val="22"/>
          <w:szCs w:val="22"/>
        </w:rPr>
        <w:t xml:space="preserve">Not considered a primary competitive threat outside of the Las Cruces and southern NM corridor</w:t>
      </w:r>
    </w:p>
    <w:p>
      <w:pPr>
        <w:spacing w:after="80" w:before="80"/>
      </w:pPr>
      <w:r>
        <w:t xml:space="preserve"/>
      </w:r>
    </w:p>
    <w:p>
      <w:pPr>
        <w:pStyle w:val="Heading2"/>
        <w:spacing w:after="120" w:before="240"/>
      </w:pPr>
      <w:r>
        <w:rPr>
          <w:rFonts w:ascii="Arial" w:cs="Arial" w:eastAsia="Arial" w:hAnsi="Arial"/>
          <w:b/>
          <w:bCs/>
          <w:color w:val="1A3A5C"/>
          <w:sz w:val="24"/>
          <w:szCs w:val="24"/>
        </w:rPr>
        <w:t xml:space="preserve">Direct Manufacturer Sales (Various)</w:t>
      </w:r>
    </w:p>
    <w:p>
      <w:pPr>
        <w:spacing w:after="80" w:before="80"/>
      </w:pPr>
      <w:r>
        <w:rPr>
          <w:rFonts w:ascii="Arial" w:cs="Arial" w:eastAsia="Arial" w:hAnsi="Arial"/>
          <w:b w:val="false"/>
          <w:bCs w:val="false"/>
          <w:color w:val="222222"/>
          <w:sz w:val="22"/>
          <w:szCs w:val="22"/>
        </w:rPr>
        <w:t xml:space="preserve">Several major manufacturers sell direct into the New Mexico market for large projects.</w:t>
      </w:r>
    </w:p>
    <w:p>
      <w:pPr>
        <w:pStyle w:val="ListParagraph"/>
        <w:numPr>
          <w:ilvl w:val="0"/>
          <w:numId w:val="2"/>
        </w:numPr>
        <w:spacing w:after="60" w:before="60"/>
      </w:pPr>
      <w:r>
        <w:rPr>
          <w:rFonts w:ascii="Arial" w:cs="Arial" w:eastAsia="Arial" w:hAnsi="Arial"/>
          <w:b w:val="false"/>
          <w:bCs w:val="false"/>
          <w:sz w:val="22"/>
          <w:szCs w:val="22"/>
        </w:rPr>
        <w:t xml:space="preserve">Rational (combi ovens) has an independent sales rep covering NM directly</w:t>
      </w:r>
    </w:p>
    <w:p>
      <w:pPr>
        <w:pStyle w:val="ListParagraph"/>
        <w:numPr>
          <w:ilvl w:val="0"/>
          <w:numId w:val="2"/>
        </w:numPr>
        <w:spacing w:after="60" w:before="60"/>
      </w:pPr>
      <w:r>
        <w:rPr>
          <w:rFonts w:ascii="Arial" w:cs="Arial" w:eastAsia="Arial" w:hAnsi="Arial"/>
          <w:b w:val="false"/>
          <w:bCs w:val="false"/>
          <w:sz w:val="22"/>
          <w:szCs w:val="22"/>
        </w:rPr>
        <w:t xml:space="preserve">Welbilt and Manitowoc have manufacturer reps who call on large hotel and chain accounts</w:t>
      </w:r>
    </w:p>
    <w:p>
      <w:pPr>
        <w:pStyle w:val="ListParagraph"/>
        <w:numPr>
          <w:ilvl w:val="0"/>
          <w:numId w:val="2"/>
        </w:numPr>
        <w:spacing w:after="60" w:before="60"/>
      </w:pPr>
      <w:r>
        <w:rPr>
          <w:rFonts w:ascii="Arial" w:cs="Arial" w:eastAsia="Arial" w:hAnsi="Arial"/>
          <w:b w:val="false"/>
          <w:bCs w:val="false"/>
          <w:sz w:val="22"/>
          <w:szCs w:val="22"/>
        </w:rPr>
        <w:t xml:space="preserve">Direct manufacturer relationships typically only available to accounts placing $50,000+ annual orders</w:t>
      </w:r>
    </w:p>
    <w:p>
      <w:pPr>
        <w:pStyle w:val="ListParagraph"/>
        <w:numPr>
          <w:ilvl w:val="0"/>
          <w:numId w:val="2"/>
        </w:numPr>
        <w:spacing w:after="60" w:before="60"/>
      </w:pPr>
      <w:r>
        <w:rPr>
          <w:rFonts w:ascii="Arial" w:cs="Arial" w:eastAsia="Arial" w:hAnsi="Arial"/>
          <w:b w:val="false"/>
          <w:bCs w:val="false"/>
          <w:sz w:val="22"/>
          <w:szCs w:val="22"/>
        </w:rPr>
        <w:t xml:space="preserve">Creates a bifurcated market: large accounts can go direct, smaller accounts rely on distributors</w:t>
      </w:r>
    </w:p>
    <w:p>
      <w:pPr>
        <w:spacing w:after="80" w:before="80"/>
      </w:pPr>
      <w:r>
        <w:t xml:space="preserve"/>
      </w:r>
    </w:p>
    <w:p>
      <w:pPr>
        <w:pStyle w:val="Heading1"/>
        <w:spacing w:after="160" w:before="320"/>
      </w:pPr>
      <w:r>
        <w:rPr>
          <w:rFonts w:ascii="Arial" w:cs="Arial" w:eastAsia="Arial" w:hAnsi="Arial"/>
          <w:b/>
          <w:bCs/>
          <w:color w:val="2E5C8A"/>
          <w:sz w:val="28"/>
          <w:szCs w:val="28"/>
        </w:rPr>
        <w:t xml:space="preserve">Competitive Gap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2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rFonts w:ascii="Arial" w:cs="Arial" w:eastAsia="Arial" w:hAnsi="Arial"/>
                <w:b/>
                <w:bCs/>
                <w:color w:val="FFFFFF"/>
                <w:sz w:val="20"/>
                <w:szCs w:val="20"/>
              </w:rPr>
              <w:t xml:space="preserve">Gap / Opportunity</w:t>
            </w:r>
          </w:p>
        </w:tc>
        <w:tc>
          <w:tcPr>
            <w:tcW w:type="dxa" w:w="616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rFonts w:ascii="Arial" w:cs="Arial" w:eastAsia="Arial" w:hAnsi="Arial"/>
                <w:color w:val="FFFFFF"/>
                <w:sz w:val="20"/>
                <w:szCs w:val="20"/>
              </w:rPr>
              <w:t xml:space="preserve">Detail</w:t>
            </w:r>
          </w:p>
        </w:tc>
      </w:tr>
      <w:tr>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bCs/>
                <w:color w:val="222222"/>
                <w:sz w:val="20"/>
                <w:szCs w:val="20"/>
              </w:rPr>
              <w:t xml:space="preserve">Santa Fe fine dining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Underserved by all current competitors — high revenue per account potential</w:t>
            </w:r>
          </w:p>
        </w:tc>
      </w:tr>
      <w:tr>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bCs/>
                <w:color w:val="222222"/>
                <w:sz w:val="20"/>
                <w:szCs w:val="20"/>
              </w:rPr>
              <w:t xml:space="preserve">Service response time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5-9 day average across competitors — strong differentiator for anyone offering 24-48 hr response</w:t>
            </w:r>
          </w:p>
        </w:tc>
      </w:tr>
      <w:tr>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bCs/>
                <w:color w:val="222222"/>
                <w:sz w:val="20"/>
                <w:szCs w:val="20"/>
              </w:rPr>
              <w:t xml:space="preserve">Digital ordering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No competitor offers modern eCommerce or digital account management</w:t>
            </w:r>
          </w:p>
        </w:tc>
      </w:tr>
      <w:tr>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bCs/>
                <w:color w:val="222222"/>
                <w:sz w:val="20"/>
                <w:szCs w:val="20"/>
              </w:rPr>
              <w:t xml:space="preserve">Independent operators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National players ignore them; regional player focused on institutional accounts</w:t>
            </w:r>
          </w:p>
        </w:tc>
      </w:tr>
      <w:tr>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bCs/>
                <w:color w:val="222222"/>
                <w:sz w:val="20"/>
                <w:szCs w:val="20"/>
              </w:rPr>
              <w:t xml:space="preserve">Equipment financing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No competitor is actively promoting financing options despite strong operator interest</w:t>
            </w:r>
          </w:p>
        </w:tc>
      </w:tr>
      <w:tr>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bCs/>
                <w:color w:val="222222"/>
                <w:sz w:val="20"/>
                <w:szCs w:val="20"/>
              </w:rPr>
              <w:t xml:space="preserve">Hotel segment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Hotels with food service are underserved — high equipment investment intentions in 2025</w:t>
            </w:r>
          </w:p>
        </w:tc>
      </w:tr>
    </w:tbl>
    <w:p>
      <w:pPr>
        <w:spacing w:after="80" w:before="80"/>
      </w:pPr>
      <w:r>
        <w:t xml:space="preserve"/>
      </w:r>
    </w:p>
    <w:p>
      <w:pPr>
        <w:pStyle w:val="Heading1"/>
        <w:spacing w:after="160" w:before="320"/>
      </w:pPr>
      <w:r>
        <w:rPr>
          <w:rFonts w:ascii="Arial" w:cs="Arial" w:eastAsia="Arial" w:hAnsi="Arial"/>
          <w:b/>
          <w:bCs/>
          <w:color w:val="2E5C8A"/>
          <w:sz w:val="28"/>
          <w:szCs w:val="28"/>
        </w:rPr>
        <w:t xml:space="preserve">Competitive Risk Factors</w:t>
      </w:r>
    </w:p>
    <w:p>
      <w:pPr>
        <w:pStyle w:val="ListParagraph"/>
        <w:numPr>
          <w:ilvl w:val="0"/>
          <w:numId w:val="2"/>
        </w:numPr>
        <w:spacing w:after="60" w:before="60"/>
      </w:pPr>
      <w:r>
        <w:rPr>
          <w:rFonts w:ascii="Arial" w:cs="Arial" w:eastAsia="Arial" w:hAnsi="Arial"/>
          <w:b w:val="false"/>
          <w:bCs w:val="false"/>
          <w:sz w:val="22"/>
          <w:szCs w:val="22"/>
        </w:rPr>
        <w:t xml:space="preserve">Southwest Foodservice Solutions has deep local relationships built over 20+ years — relationship-based selling will be required to displace them</w:t>
      </w:r>
    </w:p>
    <w:p>
      <w:pPr>
        <w:pStyle w:val="ListParagraph"/>
        <w:numPr>
          <w:ilvl w:val="0"/>
          <w:numId w:val="2"/>
        </w:numPr>
        <w:spacing w:after="60" w:before="60"/>
      </w:pPr>
      <w:r>
        <w:rPr>
          <w:rFonts w:ascii="Arial" w:cs="Arial" w:eastAsia="Arial" w:hAnsi="Arial"/>
          <w:b w:val="false"/>
          <w:bCs w:val="false"/>
          <w:sz w:val="22"/>
          <w:szCs w:val="22"/>
        </w:rPr>
        <w:t xml:space="preserve">A new entrant will need 12-18 months to build the service infrastructure required to compete credibly on response time</w:t>
      </w:r>
    </w:p>
    <w:p>
      <w:pPr>
        <w:pStyle w:val="ListParagraph"/>
        <w:numPr>
          <w:ilvl w:val="0"/>
          <w:numId w:val="2"/>
        </w:numPr>
        <w:spacing w:after="60" w:before="60"/>
      </w:pPr>
      <w:r>
        <w:rPr>
          <w:rFonts w:ascii="Arial" w:cs="Arial" w:eastAsia="Arial" w:hAnsi="Arial"/>
          <w:b w:val="false"/>
          <w:bCs w:val="false"/>
          <w:sz w:val="22"/>
          <w:szCs w:val="22"/>
        </w:rPr>
        <w:t xml:space="preserve">The NM market's lower average deal size means higher cost-to-serve relative to Colorado and Utah accounts</w:t>
      </w:r>
    </w:p>
    <w:p>
      <w:pPr>
        <w:pStyle w:val="ListParagraph"/>
        <w:numPr>
          <w:ilvl w:val="0"/>
          <w:numId w:val="2"/>
        </w:numPr>
        <w:spacing w:after="60" w:before="60"/>
      </w:pPr>
      <w:r>
        <w:rPr>
          <w:rFonts w:ascii="Arial" w:cs="Arial" w:eastAsia="Arial" w:hAnsi="Arial"/>
          <w:b w:val="false"/>
          <w:bCs w:val="false"/>
          <w:sz w:val="22"/>
          <w:szCs w:val="22"/>
        </w:rPr>
        <w:t xml:space="preserve">Southwest Foodservice Solutions is reportedly in early conversations with a private equity group — a well-capitalized acquisition could significantly strengthen their position</w:t>
      </w:r>
    </w:p>
    <w:p>
      <w:pPr>
        <w:pStyle w:val="ListParagraph"/>
        <w:numPr>
          <w:ilvl w:val="0"/>
          <w:numId w:val="2"/>
        </w:numPr>
        <w:spacing w:after="60" w:before="60"/>
      </w:pPr>
      <w:r>
        <w:rPr>
          <w:rFonts w:ascii="Arial" w:cs="Arial" w:eastAsia="Arial" w:hAnsi="Arial"/>
          <w:b w:val="false"/>
          <w:bCs w:val="false"/>
          <w:sz w:val="22"/>
          <w:szCs w:val="22"/>
        </w:rPr>
        <w:t xml:space="preserve">Brand loyalty to existing distributors is high among institutional accounts (schools, hospitals, government)</w:t>
      </w:r>
    </w:p>
    <w:p>
      <w:pPr>
        <w:spacing w:after="80" w:before="80"/>
      </w:pPr>
      <w:r>
        <w:t xml:space="preserve"/>
      </w:r>
    </w:p>
    <w:p>
      <w:pPr>
        <w:pStyle w:val="Heading1"/>
        <w:spacing w:after="160" w:before="320"/>
      </w:pPr>
      <w:r>
        <w:rPr>
          <w:rFonts w:ascii="Arial" w:cs="Arial" w:eastAsia="Arial" w:hAnsi="Arial"/>
          <w:b/>
          <w:bCs/>
          <w:color w:val="2E5C8A"/>
          <w:sz w:val="28"/>
          <w:szCs w:val="28"/>
        </w:rPr>
        <w:t xml:space="preserve">Summary Assessment</w:t>
      </w:r>
    </w:p>
    <w:p>
      <w:pPr>
        <w:spacing w:after="80" w:before="80"/>
      </w:pPr>
      <w:r>
        <w:rPr>
          <w:rFonts w:ascii="Arial" w:cs="Arial" w:eastAsia="Arial" w:hAnsi="Arial"/>
          <w:b w:val="false"/>
          <w:bCs w:val="false"/>
          <w:color w:val="222222"/>
          <w:sz w:val="22"/>
          <w:szCs w:val="22"/>
        </w:rPr>
        <w:t xml:space="preserve">The competitive landscape in New Mexico is fragmented and contains real gaps that a well-resourced new entrant could exploit. However, the dominant regional competitor has entrenched relationships and the market's lower revenue per account means the economics require careful territory planning. Santa Fe and the hotel segment represent the clearest near-term opportunities with the least direct competition.</w:t>
      </w:r>
    </w:p>
    <w:p>
      <w:pPr>
        <w:spacing w:after="80" w:before="80"/>
      </w:pPr>
      <w:r>
        <w:t xml:space="preserve"/>
      </w:r>
    </w:p>
    <w:p>
      <w:pPr>
        <w:spacing w:after="80" w:before="80"/>
      </w:pPr>
      <w:r>
        <w:rPr>
          <w:rFonts w:ascii="Arial" w:cs="Arial" w:eastAsia="Arial" w:hAnsi="Arial"/>
          <w:b w:val="false"/>
          <w:bCs w:val="false"/>
          <w:color w:val="888888"/>
          <w:sz w:val="22"/>
          <w:szCs w:val="22"/>
        </w:rPr>
        <w:t xml:space="preserve">Prepared for internal strategy use only | March 2025</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sz w:val="28"/>
      <w:szCs w:val="28"/>
    </w:rPr>
  </w:style>
  <w:style w:type="paragraph" w:styleId="Heading2">
    <w:name w:val="Heading 2"/>
    <w:basedOn w:val="Normal"/>
    <w:next w:val="Normal"/>
    <w:qFormat/>
    <w:pPr>
      <w:spacing w:after="120" w:before="24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2026-03-13T14:18:08.415Z</dcterms:created>
  <dcterms:modified xsi:type="dcterms:W3CDTF">2026-03-13T14:18:08.415Z</dcterms:modified>
</cp:coreProperties>
</file>

<file path=docProps/custom.xml><?xml version="1.0" encoding="utf-8"?>
<Properties xmlns="http://schemas.openxmlformats.org/officeDocument/2006/custom-properties" xmlns:vt="http://schemas.openxmlformats.org/officeDocument/2006/docPropsVTypes"/>
</file>