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5C945">
      <w:pPr>
        <w:pStyle w:val="10"/>
      </w:pPr>
      <w:r>
        <w:t>2026年7月港理工与武大学分互换</w:t>
      </w:r>
      <w:r>
        <w:br w:type="textWrapping"/>
      </w:r>
      <w:r>
        <w:t>《生产实践（服务学习）》实习计划</w:t>
      </w:r>
    </w:p>
    <w:p w14:paraId="6BF390CE">
      <w:pPr>
        <w:pStyle w:val="10"/>
      </w:pPr>
      <w:r>
        <w:t>July 2026 Credit Exchange Program between The Hong Kong Polytechnic University and Wuhan University</w:t>
      </w:r>
      <w:r>
        <w:br w:type="textWrapping"/>
      </w:r>
      <w:r>
        <w:t>Internship Plan for “Production Practice (Service Learning)”</w:t>
      </w:r>
    </w:p>
    <w:p w14:paraId="5A51C7DF">
      <w:pPr>
        <w:pStyle w:val="2"/>
        <w:numPr>
          <w:ilvl w:val="0"/>
          <w:numId w:val="1"/>
        </w:numPr>
        <w:topLinePunct w:val="0"/>
        <w:ind w:left="0" w:leftChars="0" w:firstLine="0" w:firstLineChars="0"/>
        <w:rPr>
          <w:rFonts w:hint="eastAsia" w:ascii="黑体" w:hAnsi="黑体" w:eastAsia="黑体" w:cs="黑体"/>
          <w:b w:val="0"/>
        </w:rPr>
      </w:pPr>
      <w:r>
        <w:t>服务学习需求</w:t>
      </w:r>
    </w:p>
    <w:p w14:paraId="3263B7BA">
      <w:pPr>
        <w:pStyle w:val="3"/>
      </w:pPr>
      <w:r>
        <w:t>I. Service Learning Needs</w:t>
      </w:r>
    </w:p>
    <w:p w14:paraId="00151D0E">
      <w:pPr>
        <w:pStyle w:val="6"/>
        <w:widowControl/>
        <w:rPr>
          <w:rFonts w:ascii="Times New Roman" w:hAnsi="Times New Roman" w:eastAsia="宋体" w:cs="Times New Roman"/>
          <w:sz w:val="24"/>
          <w:szCs w:val="24"/>
        </w:rPr>
      </w:pPr>
      <w:r>
        <w:rPr>
          <w:rFonts w:ascii="Times New Roman" w:hAnsi="Times New Roman" w:eastAsia="宋体" w:cs="Times New Roman"/>
          <w:color w:val="0F1115"/>
          <w:sz w:val="24"/>
          <w:szCs w:val="24"/>
        </w:rPr>
        <w:t>党的二十大提出全面推进乡村振兴。赤壁市正致力打造产业升级、农旅特色、古街文化、社会善治、生活宜居“五位一体”的“首善之区”，羊楼洞作为“万里茶道重要源头”与核心承载地，其高质量发展关乎全市战略目标的落地成效。然而，</w:t>
      </w:r>
      <w:r>
        <w:rPr>
          <w:rFonts w:ascii="Times New Roman" w:hAnsi="Times New Roman" w:eastAsia="宋体" w:cs="Times New Roman"/>
          <w:b/>
          <w:color w:val="0F1115"/>
          <w:sz w:val="24"/>
          <w:szCs w:val="24"/>
        </w:rPr>
        <w:t>概念性目标如何转化为具体举措、优势短板如何客观评价、“五位一体”标准体系如何构建、三至五年实现路径如何明晰</w:t>
      </w:r>
      <w:r>
        <w:rPr>
          <w:rFonts w:ascii="Times New Roman" w:hAnsi="Times New Roman" w:eastAsia="宋体" w:cs="Times New Roman"/>
          <w:color w:val="0F1115"/>
          <w:sz w:val="24"/>
          <w:szCs w:val="24"/>
        </w:rPr>
        <w:t>，是当地政府亟待破解的关键命题。</w:t>
      </w:r>
    </w:p>
    <w:p w14:paraId="1FB7FAAD">
      <w:pPr>
        <w:pStyle w:val="6"/>
        <w:widowControl/>
        <w:rPr>
          <w:rFonts w:ascii="Times New Roman" w:hAnsi="Times New Roman" w:eastAsia="宋体" w:cs="Times New Roman"/>
          <w:color w:val="0F1115"/>
          <w:sz w:val="24"/>
          <w:szCs w:val="24"/>
        </w:rPr>
      </w:pPr>
      <w:r>
        <w:rPr>
          <w:rFonts w:ascii="Times New Roman" w:hAnsi="Times New Roman" w:eastAsia="宋体" w:cs="Times New Roman"/>
          <w:sz w:val="24"/>
          <w:szCs w:val="24"/>
        </w:rPr>
        <w:t xml:space="preserve">The 20th National Congress of the Communist Party of China proposed the comprehensive advancement of rural revitalization. Chibi City is working to build a “model district of excellence” integrating five dimensions: industrial upgrading, distinctive agriculture-tourism development, ancient street culture, sound social governance, and livable communities. As an important source and core carrier of the “Ten-Thousand-Li Tea Road,” Yangloudong plays a vital role in the effective implementation of the city’s strategic goals for high-quality development. However, several key issues urgently need to be addressed by the local government: </w:t>
      </w:r>
      <w:r>
        <w:rPr>
          <w:rFonts w:ascii="Times New Roman" w:hAnsi="Times New Roman" w:eastAsia="宋体" w:cs="Times New Roman"/>
          <w:b/>
          <w:sz w:val="24"/>
          <w:szCs w:val="24"/>
        </w:rPr>
        <w:t>how to translate conceptual goals into concrete measures, how to objectively evaluate strengths and weaknesses, how to establish a five-in-one standard system, and how to clarify the implementation pathway for the next three to five years.</w:t>
      </w:r>
    </w:p>
    <w:p w14:paraId="7EA51AA9">
      <w:pPr>
        <w:pStyle w:val="6"/>
        <w:widowControl/>
        <w:rPr>
          <w:rFonts w:ascii="Times New Roman" w:hAnsi="Times New Roman" w:eastAsia="宋体" w:cs="Times New Roman"/>
          <w:sz w:val="24"/>
          <w:szCs w:val="24"/>
        </w:rPr>
      </w:pPr>
      <w:r>
        <w:rPr>
          <w:rFonts w:ascii="Times New Roman" w:hAnsi="Times New Roman" w:eastAsia="宋体" w:cs="Times New Roman"/>
          <w:color w:val="0F1115"/>
          <w:sz w:val="24"/>
          <w:szCs w:val="24"/>
        </w:rPr>
        <w:t>《生产实践（服务学习）》课程秉承“在服务中学习，在学习中服务”的育人理念，本次实践围绕8大主题，引导学生深入街道社区开展扎实调研，立足街情与咸宁市情、放眼全省，运用人工智能与智能体制作技术，以</w:t>
      </w:r>
      <w:r>
        <w:rPr>
          <w:rFonts w:ascii="Times New Roman" w:hAnsi="Times New Roman" w:eastAsia="宋体" w:cs="Times New Roman"/>
          <w:b/>
          <w:color w:val="0F1115"/>
          <w:sz w:val="24"/>
          <w:szCs w:val="24"/>
        </w:rPr>
        <w:t>具体数据客观综合分析评价蒲圻街道优势短板</w:t>
      </w:r>
      <w:r>
        <w:rPr>
          <w:rFonts w:ascii="Times New Roman" w:hAnsi="Times New Roman" w:eastAsia="宋体" w:cs="Times New Roman"/>
          <w:color w:val="0F1115"/>
          <w:sz w:val="24"/>
          <w:szCs w:val="24"/>
        </w:rPr>
        <w:t>，协助构建“首善之区”可量化衡量标准，并明确中短期实施路径。</w:t>
      </w:r>
    </w:p>
    <w:p w14:paraId="18D3EC2A">
      <w:pPr>
        <w:pStyle w:val="6"/>
        <w:widowControl/>
        <w:rPr>
          <w:rFonts w:ascii="Times New Roman" w:hAnsi="Times New Roman" w:eastAsia="宋体" w:cs="Times New Roman"/>
          <w:color w:val="0F1115"/>
          <w:sz w:val="24"/>
          <w:szCs w:val="24"/>
        </w:rPr>
      </w:pPr>
      <w:r>
        <w:rPr>
          <w:rFonts w:ascii="Times New Roman" w:hAnsi="Times New Roman" w:eastAsia="宋体" w:cs="Times New Roman"/>
          <w:sz w:val="24"/>
          <w:szCs w:val="24"/>
        </w:rPr>
        <w:t xml:space="preserve">The course “Production Practice (Service Learning)” upholds the educational philosophy of “learning through service and serving through learning.” This practice is organized around eight major themes, guiding students to conduct in-depth field research in streets and communities. Based on the conditions of the street and Xianning City, while also considering the broader context of Hubei Province, students will apply artificial intelligence and agent-development technologies to </w:t>
      </w:r>
      <w:r>
        <w:rPr>
          <w:rFonts w:ascii="Times New Roman" w:hAnsi="Times New Roman" w:eastAsia="宋体" w:cs="Times New Roman"/>
          <w:b/>
          <w:sz w:val="24"/>
          <w:szCs w:val="24"/>
        </w:rPr>
        <w:t>conduct objective and comprehensive data-based analysis and evaluation of the strengths and weaknesses of Puqi Subdistrict</w:t>
      </w:r>
      <w:r>
        <w:rPr>
          <w:rFonts w:ascii="Times New Roman" w:hAnsi="Times New Roman" w:eastAsia="宋体" w:cs="Times New Roman"/>
          <w:sz w:val="24"/>
          <w:szCs w:val="24"/>
        </w:rPr>
        <w:t>. The practice will assist in constructing quantifiable evaluation standards for the “model district of excellence” and clarify short- and medium-term implementation pathways.</w:t>
      </w:r>
    </w:p>
    <w:p w14:paraId="06E9CEFE">
      <w:pPr>
        <w:pStyle w:val="6"/>
        <w:widowControl/>
        <w:rPr>
          <w:rFonts w:ascii="Times New Roman" w:hAnsi="Times New Roman" w:eastAsia="宋体" w:cs="Times New Roman"/>
          <w:color w:val="0F1115"/>
          <w:sz w:val="24"/>
          <w:szCs w:val="24"/>
        </w:rPr>
      </w:pPr>
      <w:r>
        <w:rPr>
          <w:rFonts w:ascii="Times New Roman" w:hAnsi="Times New Roman" w:eastAsia="宋体" w:cs="Times New Roman"/>
          <w:color w:val="0F1115"/>
          <w:sz w:val="24"/>
          <w:szCs w:val="24"/>
        </w:rPr>
        <w:t>实践旨在提升学生创新创业能力，推动创新成果向创业转化，为赤壁“首善之区”建设提供智力支持与青年方案，实现</w:t>
      </w:r>
      <w:r>
        <w:rPr>
          <w:rFonts w:ascii="Times New Roman" w:hAnsi="Times New Roman" w:eastAsia="宋体" w:cs="Times New Roman"/>
          <w:b/>
          <w:color w:val="0F1115"/>
          <w:sz w:val="24"/>
          <w:szCs w:val="24"/>
        </w:rPr>
        <w:t>实践育人、服务社会、创新驱动、成果转化</w:t>
      </w:r>
      <w:r>
        <w:rPr>
          <w:rFonts w:ascii="Times New Roman" w:hAnsi="Times New Roman" w:eastAsia="宋体" w:cs="Times New Roman"/>
          <w:color w:val="0F1115"/>
          <w:sz w:val="24"/>
          <w:szCs w:val="24"/>
        </w:rPr>
        <w:t>的多重目标。</w:t>
      </w:r>
    </w:p>
    <w:p w14:paraId="5FF8111F">
      <w:pPr>
        <w:pStyle w:val="6"/>
        <w:widowControl/>
        <w:rPr>
          <w:rFonts w:ascii="Times New Roman" w:hAnsi="Times New Roman" w:eastAsia="宋体" w:cs="Times New Roman"/>
          <w:color w:val="0F1115"/>
          <w:sz w:val="24"/>
          <w:szCs w:val="24"/>
        </w:rPr>
      </w:pPr>
      <w:r>
        <w:rPr>
          <w:rFonts w:ascii="Times New Roman" w:hAnsi="Times New Roman" w:eastAsia="宋体" w:cs="Times New Roman"/>
          <w:sz w:val="24"/>
          <w:szCs w:val="24"/>
        </w:rPr>
        <w:t xml:space="preserve">This practice aims to enhance students’ innovation and entrepreneurship abilities, promote the transformation of innovative achievements into entrepreneurial outcomes, and provide intellectual support and youth-oriented proposals for the construction of Chibi’s “model district of excellence.” It seeks to achieve multiple goals, including </w:t>
      </w:r>
      <w:r>
        <w:rPr>
          <w:rFonts w:ascii="Times New Roman" w:hAnsi="Times New Roman" w:eastAsia="宋体" w:cs="Times New Roman"/>
          <w:b/>
          <w:sz w:val="24"/>
          <w:szCs w:val="24"/>
        </w:rPr>
        <w:t>practice-based education, social service, innovation-driven development, and achievement transformation</w:t>
      </w:r>
      <w:r>
        <w:rPr>
          <w:rFonts w:ascii="Times New Roman" w:hAnsi="Times New Roman" w:eastAsia="宋体" w:cs="Times New Roman"/>
          <w:sz w:val="24"/>
          <w:szCs w:val="24"/>
        </w:rPr>
        <w:t>.</w:t>
      </w:r>
    </w:p>
    <w:p w14:paraId="7DC9BEAC">
      <w:pPr>
        <w:pStyle w:val="2"/>
        <w:numPr>
          <w:ilvl w:val="0"/>
          <w:numId w:val="1"/>
        </w:numPr>
        <w:topLinePunct w:val="0"/>
        <w:ind w:left="0" w:leftChars="0" w:firstLine="0" w:firstLineChars="0"/>
        <w:rPr>
          <w:rFonts w:hint="eastAsia" w:ascii="黑体" w:hAnsi="黑体" w:eastAsia="黑体" w:cs="黑体"/>
          <w:b w:val="0"/>
        </w:rPr>
      </w:pPr>
      <w:r>
        <w:t>主题</w:t>
      </w:r>
    </w:p>
    <w:p w14:paraId="165695E6">
      <w:pPr>
        <w:pStyle w:val="3"/>
      </w:pPr>
      <w:r>
        <w:t>II. Themes</w:t>
      </w:r>
    </w:p>
    <w:p w14:paraId="583DA439">
      <w:pPr>
        <w:pStyle w:val="2"/>
        <w:numPr>
          <w:ilvl w:val="0"/>
          <w:numId w:val="2"/>
        </w:numPr>
        <w:shd w:val="clear" w:color="auto" w:fill="FFFFFF"/>
        <w:topLinePunct w:val="0"/>
        <w:ind w:left="0" w:leftChars="0" w:firstLine="0" w:firstLineChars="0"/>
        <w:rPr>
          <w:rFonts w:hint="eastAsia" w:ascii="黑体" w:hAnsi="黑体" w:eastAsia="黑体" w:cs="黑体"/>
          <w:b w:val="0"/>
        </w:rPr>
      </w:pPr>
      <w:r>
        <w:t>古建筑保护与文化传承</w:t>
      </w:r>
      <w:bookmarkStart w:id="0" w:name="_GoBack"/>
      <w:bookmarkEnd w:id="0"/>
    </w:p>
    <w:p w14:paraId="38D520B8">
      <w:pPr>
        <w:pStyle w:val="3"/>
        <w:shd w:val="clear" w:color="auto" w:fill="FFFFFF"/>
      </w:pPr>
      <w:r>
        <w:t>1. Protection of Ancient Buildings and Cultural Inheritance</w:t>
      </w:r>
    </w:p>
    <w:p w14:paraId="1A209BE2">
      <w:pPr>
        <w:pStyle w:val="6"/>
        <w:widowControl/>
        <w:rPr>
          <w:rFonts w:ascii="Times New Roman" w:hAnsi="Times New Roman" w:eastAsia="宋体" w:cs="Times New Roman"/>
          <w:b/>
          <w:sz w:val="24"/>
          <w:szCs w:val="24"/>
        </w:rPr>
      </w:pPr>
      <w:r>
        <w:rPr>
          <w:rStyle w:val="12"/>
          <w:rFonts w:ascii="Times New Roman" w:hAnsi="Times New Roman" w:eastAsia="宋体" w:cs="Times New Roman"/>
          <w:color w:val="0F1115"/>
          <w:sz w:val="24"/>
          <w:szCs w:val="24"/>
        </w:rPr>
        <w:t>主题1：羊楼洞古建筑群数字化保护与文化遗产价值传播</w:t>
      </w:r>
    </w:p>
    <w:p w14:paraId="7B69C995">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Theme 1: Digital Protection of the Yangloudong Ancient Building Complex and Dissemination of Cultural Heritage Value</w:t>
      </w:r>
      <w:r>
        <w:rPr>
          <w:rFonts w:ascii="Times New Roman" w:hAnsi="Times New Roman" w:eastAsia="宋体" w:cs="Times New Roman"/>
          <w:b/>
          <w:sz w:val="24"/>
          <w:szCs w:val="24"/>
        </w:rPr>
        <w:br w:type="textWrapping"/>
      </w:r>
      <w:r>
        <w:rPr>
          <w:rFonts w:ascii="Times New Roman" w:hAnsi="Times New Roman" w:eastAsia="宋体" w:cs="Times New Roman"/>
          <w:color w:val="0F1115"/>
          <w:sz w:val="24"/>
          <w:szCs w:val="24"/>
        </w:rPr>
        <w:t>利用无人机航拍、三维激光扫描等技术，对羊楼洞明清石板街及典型古建筑进行数字化建模，建立永久性数字档案；制作VR/AR沉浸式体验内容，开发线上“云游古街”数字展厅，助力古街文化活态传承与广泛传播。</w:t>
      </w:r>
    </w:p>
    <w:p w14:paraId="6EE2B5DA">
      <w:pPr>
        <w:pStyle w:val="6"/>
        <w:widowControl/>
        <w:rPr>
          <w:rFonts w:ascii="Times New Roman" w:hAnsi="Times New Roman" w:eastAsia="宋体" w:cs="Times New Roman"/>
          <w:color w:val="0F1115"/>
          <w:sz w:val="24"/>
          <w:szCs w:val="24"/>
        </w:rPr>
      </w:pPr>
      <w:r>
        <w:rPr>
          <w:rFonts w:ascii="Times New Roman" w:hAnsi="Times New Roman" w:eastAsia="宋体" w:cs="Times New Roman"/>
          <w:b w:val="0"/>
          <w:sz w:val="24"/>
          <w:szCs w:val="24"/>
        </w:rPr>
        <w:t>Using technologies such as UAV aerial photography and 3D laser scanning, students will conduct digital modeling of the Ming and Qing stone-slab street in Yangloudong and representative ancient buildings, establishing permanent digital archives. They will also produce VR/AR immersive experience content and develop an online digital exhibition hall for “cloud tours of the ancient street,” thereby supporting the living inheritance and widespread dissemination of ancient street culture.</w:t>
      </w:r>
    </w:p>
    <w:p w14:paraId="32D2C489">
      <w:pPr>
        <w:pStyle w:val="6"/>
        <w:widowControl/>
        <w:rPr>
          <w:rFonts w:ascii="Times New Roman" w:hAnsi="Times New Roman" w:eastAsia="宋体" w:cs="Times New Roman"/>
          <w:b/>
          <w:sz w:val="24"/>
          <w:szCs w:val="24"/>
        </w:rPr>
      </w:pPr>
      <w:r>
        <w:rPr>
          <w:rStyle w:val="12"/>
          <w:rFonts w:ascii="Times New Roman" w:hAnsi="Times New Roman" w:eastAsia="宋体" w:cs="Times New Roman"/>
          <w:color w:val="0F1115"/>
          <w:sz w:val="24"/>
          <w:szCs w:val="24"/>
        </w:rPr>
        <w:t>主题2：茶马古道历史渊源挖掘与茶文化传播方案设计</w:t>
      </w:r>
    </w:p>
    <w:p w14:paraId="558D49C0">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Theme 2: Exploration of the Historical Origins of the Ancient Tea-Horse Road and Design of Tea Culture Communication Plans</w:t>
      </w:r>
      <w:r>
        <w:rPr>
          <w:rFonts w:ascii="Times New Roman" w:hAnsi="Times New Roman" w:eastAsia="宋体" w:cs="Times New Roman"/>
          <w:b/>
          <w:sz w:val="24"/>
          <w:szCs w:val="24"/>
        </w:rPr>
        <w:br w:type="textWrapping"/>
      </w:r>
      <w:r>
        <w:rPr>
          <w:rFonts w:ascii="Times New Roman" w:hAnsi="Times New Roman" w:eastAsia="宋体" w:cs="Times New Roman"/>
          <w:color w:val="0F1115"/>
          <w:sz w:val="24"/>
          <w:szCs w:val="24"/>
        </w:rPr>
        <w:t>梳理羊楼洞作为“万里茶道源头”的历史脉络，探究青砖茶从唐宋起源到横跨欧亚的贸易历程；访谈非遗传承人与老茶人，整理口述史料；设计面向青少年的茶文化科普课程与面向游客的茶文化体验方案，提升茶文化社会影响力。</w:t>
      </w:r>
    </w:p>
    <w:p w14:paraId="7303F7B7">
      <w:pPr>
        <w:pStyle w:val="6"/>
        <w:widowControl/>
        <w:rPr>
          <w:rFonts w:ascii="Times New Roman" w:hAnsi="Times New Roman" w:eastAsia="宋体" w:cs="Times New Roman"/>
          <w:color w:val="0F1115"/>
          <w:sz w:val="24"/>
          <w:szCs w:val="24"/>
        </w:rPr>
      </w:pPr>
      <w:r>
        <w:rPr>
          <w:rFonts w:ascii="Times New Roman" w:hAnsi="Times New Roman" w:eastAsia="宋体" w:cs="Times New Roman"/>
          <w:b w:val="0"/>
          <w:sz w:val="24"/>
          <w:szCs w:val="24"/>
        </w:rPr>
        <w:t>Students will sort out the historical development of Yangloudong as the “source of the Ten-Thousand-Li Tea Road” and explore the trade history of Qingzhuan tea from its origins in the Tang and Song dynasties to its cross-Eurasian circulation. They will interview intangible cultural heritage inheritors and senior tea practitioners, organize oral history materials, and design tea culture popularization courses for young people as well as tea culture experience plans for tourists, thereby enhancing the social influence of tea culture.</w:t>
      </w:r>
    </w:p>
    <w:p w14:paraId="1DB2F8EC">
      <w:pPr>
        <w:pStyle w:val="2"/>
        <w:numPr>
          <w:ilvl w:val="0"/>
          <w:numId w:val="2"/>
        </w:numPr>
        <w:shd w:val="clear" w:color="auto" w:fill="FFFFFF"/>
        <w:topLinePunct w:val="0"/>
        <w:ind w:left="0" w:leftChars="0" w:firstLine="0" w:firstLineChars="0"/>
        <w:rPr>
          <w:rFonts w:hint="eastAsia" w:ascii="黑体" w:hAnsi="黑体" w:eastAsia="黑体" w:cs="黑体"/>
          <w:b w:val="0"/>
        </w:rPr>
      </w:pPr>
      <w:r>
        <w:t>空间信息与民生服务</w:t>
      </w:r>
    </w:p>
    <w:p w14:paraId="0783498B">
      <w:pPr>
        <w:pStyle w:val="3"/>
        <w:shd w:val="clear" w:color="auto" w:fill="FFFFFF"/>
      </w:pPr>
      <w:r>
        <w:t>2. Spatial Information and Public Service</w:t>
      </w:r>
    </w:p>
    <w:p w14:paraId="6F5E1002">
      <w:pPr>
        <w:pStyle w:val="6"/>
        <w:widowControl/>
        <w:rPr>
          <w:rFonts w:ascii="Times New Roman" w:hAnsi="Times New Roman" w:eastAsia="宋体" w:cs="Times New Roman"/>
          <w:b/>
          <w:sz w:val="24"/>
          <w:szCs w:val="24"/>
        </w:rPr>
      </w:pPr>
      <w:r>
        <w:rPr>
          <w:rStyle w:val="12"/>
          <w:rFonts w:ascii="Times New Roman" w:hAnsi="Times New Roman" w:eastAsia="宋体" w:cs="Times New Roman"/>
          <w:color w:val="0F1115"/>
          <w:sz w:val="24"/>
          <w:szCs w:val="24"/>
        </w:rPr>
        <w:t>主题3：羊楼洞智慧旅游地图制作与游客导览服务优化</w:t>
      </w:r>
    </w:p>
    <w:p w14:paraId="0A6A1CE6">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Theme 3: Production of a Smart Tourism Map of Yangloudong and Optimization of Tourist Guide Services</w:t>
      </w:r>
      <w:r>
        <w:rPr>
          <w:rFonts w:ascii="Times New Roman" w:hAnsi="Times New Roman" w:eastAsia="宋体" w:cs="Times New Roman"/>
          <w:b/>
          <w:sz w:val="24"/>
          <w:szCs w:val="24"/>
        </w:rPr>
        <w:br w:type="textWrapping"/>
      </w:r>
      <w:r>
        <w:rPr>
          <w:rFonts w:ascii="Times New Roman" w:hAnsi="Times New Roman" w:eastAsia="宋体" w:cs="Times New Roman"/>
          <w:color w:val="0F1115"/>
          <w:sz w:val="24"/>
          <w:szCs w:val="24"/>
        </w:rPr>
        <w:t>实地采集古镇旅游资源（景点、茶企、非遗工坊、餐饮住宿、服务设施等），制作集信息查询、路线规划于一体的智慧旅游地图；调研游客体验痛点，提出导览设施与服务水平优化建议。</w:t>
      </w:r>
    </w:p>
    <w:p w14:paraId="0F7B80B6">
      <w:pPr>
        <w:pStyle w:val="6"/>
        <w:widowControl/>
        <w:rPr>
          <w:rFonts w:ascii="Times New Roman" w:hAnsi="Times New Roman" w:eastAsia="宋体" w:cs="Times New Roman"/>
          <w:color w:val="0F1115"/>
          <w:sz w:val="24"/>
          <w:szCs w:val="24"/>
        </w:rPr>
      </w:pPr>
      <w:r>
        <w:rPr>
          <w:rFonts w:ascii="Times New Roman" w:hAnsi="Times New Roman" w:eastAsia="宋体" w:cs="Times New Roman"/>
          <w:b w:val="0"/>
          <w:sz w:val="24"/>
          <w:szCs w:val="24"/>
        </w:rPr>
        <w:t>Students will collect field data on tourism resources in the ancient town, including scenic spots, tea enterprises, intangible cultural heritage workshops, catering and accommodation facilities, and public service facilities. They will create a smart tourism map integrating information inquiry and route planning functions. They will also investigate pain points in tourist experiences and propose suggestions for improving guide facilities and service quality.</w:t>
      </w:r>
    </w:p>
    <w:p w14:paraId="11E63001">
      <w:pPr>
        <w:pStyle w:val="6"/>
        <w:widowControl/>
        <w:rPr>
          <w:rFonts w:ascii="Times New Roman" w:hAnsi="Times New Roman" w:eastAsia="宋体" w:cs="Times New Roman"/>
          <w:b/>
          <w:sz w:val="24"/>
          <w:szCs w:val="24"/>
        </w:rPr>
      </w:pPr>
      <w:r>
        <w:rPr>
          <w:rStyle w:val="12"/>
          <w:rFonts w:ascii="Times New Roman" w:hAnsi="Times New Roman" w:eastAsia="宋体" w:cs="Times New Roman"/>
          <w:color w:val="0F1115"/>
          <w:sz w:val="24"/>
          <w:szCs w:val="24"/>
        </w:rPr>
        <w:t>主题4：民生服务地图制作与社区需求调研</w:t>
      </w:r>
    </w:p>
    <w:p w14:paraId="640C08BE">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Theme 4: Production of a Livelihood Service Map and Community Needs Survey</w:t>
      </w:r>
      <w:r>
        <w:rPr>
          <w:rFonts w:ascii="Times New Roman" w:hAnsi="Times New Roman" w:eastAsia="宋体" w:cs="Times New Roman"/>
          <w:b/>
          <w:sz w:val="24"/>
          <w:szCs w:val="24"/>
        </w:rPr>
        <w:br w:type="textWrapping"/>
      </w:r>
      <w:r>
        <w:rPr>
          <w:rFonts w:ascii="Times New Roman" w:hAnsi="Times New Roman" w:eastAsia="宋体" w:cs="Times New Roman"/>
          <w:color w:val="0F1115"/>
          <w:sz w:val="24"/>
          <w:szCs w:val="24"/>
        </w:rPr>
        <w:t>走访古镇居民与商户，调研交通出行、医疗健康、商业物流、公共设施等民生服务现状与需求，制作民生服务地图；梳理社区治理短板，形成需求清单与改进建议，为社会善治提供数据支撑。</w:t>
      </w:r>
    </w:p>
    <w:p w14:paraId="5EE17997">
      <w:pPr>
        <w:pStyle w:val="6"/>
        <w:widowControl/>
        <w:rPr>
          <w:rFonts w:ascii="Times New Roman" w:hAnsi="Times New Roman" w:eastAsia="宋体" w:cs="Times New Roman"/>
          <w:color w:val="0F1115"/>
          <w:sz w:val="24"/>
          <w:szCs w:val="24"/>
        </w:rPr>
      </w:pPr>
      <w:r>
        <w:rPr>
          <w:rFonts w:ascii="Times New Roman" w:hAnsi="Times New Roman" w:eastAsia="宋体" w:cs="Times New Roman"/>
          <w:b w:val="0"/>
          <w:sz w:val="24"/>
          <w:szCs w:val="24"/>
        </w:rPr>
        <w:t>Students will visit residents and merchants in the ancient town to investigate the current conditions and needs related to livelihood services, including transportation, medical and health services, commercial logistics, and public facilities. They will produce a livelihood service map, identify shortcomings in community governance, and form a list of needs and improvement suggestions, providing data support for sound social governance.</w:t>
      </w:r>
    </w:p>
    <w:p w14:paraId="4E5853EA">
      <w:pPr>
        <w:pStyle w:val="2"/>
        <w:numPr>
          <w:ilvl w:val="0"/>
          <w:numId w:val="2"/>
        </w:numPr>
        <w:shd w:val="clear" w:color="auto" w:fill="FFFFFF"/>
        <w:topLinePunct w:val="0"/>
        <w:ind w:left="0" w:leftChars="0" w:firstLine="0" w:firstLineChars="0"/>
        <w:rPr>
          <w:rFonts w:hint="eastAsia" w:ascii="黑体" w:hAnsi="黑体" w:eastAsia="黑体" w:cs="黑体"/>
          <w:b w:val="0"/>
        </w:rPr>
      </w:pPr>
      <w:r>
        <w:t>生态环境与产业调研</w:t>
      </w:r>
    </w:p>
    <w:p w14:paraId="7110C9EB">
      <w:pPr>
        <w:pStyle w:val="6"/>
        <w:rPr>
          <w:rFonts w:ascii="Times New Roman" w:hAnsi="Times New Roman" w:eastAsia="宋体" w:cs="Times New Roman"/>
          <w:sz w:val="24"/>
          <w:szCs w:val="24"/>
        </w:rPr>
      </w:pPr>
      <w:r>
        <w:rPr>
          <w:rStyle w:val="12"/>
          <w:rFonts w:ascii="Times New Roman" w:hAnsi="Times New Roman" w:eastAsia="宋体" w:cs="Times New Roman"/>
          <w:b/>
          <w:color w:val="0F1115"/>
          <w:sz w:val="24"/>
          <w:szCs w:val="24"/>
        </w:rPr>
        <w:t>主题5：羊楼洞茶园土壤、水质与空气质量监测及生态评价</w:t>
      </w:r>
    </w:p>
    <w:p w14:paraId="2107F420">
      <w:pPr>
        <w:pStyle w:val="3"/>
        <w:shd w:val="clear" w:color="auto" w:fill="FFFFFF"/>
      </w:pPr>
      <w:r>
        <w:t>3. Ecological Environment and Industrial Research</w:t>
      </w:r>
    </w:p>
    <w:p w14:paraId="2B895372">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Theme 5: Monitoring and Ecological Evaluation of Soil, Water Quality, and Air Quality in Yangloudong Tea Gardens</w:t>
      </w:r>
      <w:r>
        <w:rPr>
          <w:rFonts w:ascii="Times New Roman" w:hAnsi="Times New Roman" w:eastAsia="宋体" w:cs="Times New Roman"/>
          <w:b/>
          <w:sz w:val="24"/>
          <w:szCs w:val="24"/>
        </w:rPr>
        <w:br w:type="textWrapping"/>
      </w:r>
      <w:r>
        <w:rPr>
          <w:rFonts w:ascii="Times New Roman" w:hAnsi="Times New Roman" w:eastAsia="宋体" w:cs="Times New Roman"/>
          <w:color w:val="0F1115"/>
          <w:sz w:val="24"/>
          <w:szCs w:val="24"/>
        </w:rPr>
        <w:t>在羊楼洞核心茶园布设监测点位，实地采集土壤、水样与空气样本，测定pH值、重金属含量、有机质、氮磷钾养分、水质指标（COD、氨氮、总磷）及空气质量（PM2.5、PM10、负氧离子浓度）等关键参数，科学评估茶产业活动对当地生态环境的影响，形成生态评价报告与保护建议。</w:t>
      </w:r>
    </w:p>
    <w:p w14:paraId="07F2858C">
      <w:pPr>
        <w:pStyle w:val="6"/>
        <w:widowControl/>
        <w:rPr>
          <w:rFonts w:ascii="Times New Roman" w:hAnsi="Times New Roman" w:eastAsia="宋体" w:cs="Times New Roman"/>
          <w:color w:val="0F1115"/>
          <w:sz w:val="24"/>
          <w:szCs w:val="24"/>
        </w:rPr>
      </w:pPr>
      <w:r>
        <w:rPr>
          <w:rFonts w:ascii="Times New Roman" w:hAnsi="Times New Roman" w:eastAsia="宋体" w:cs="Times New Roman"/>
          <w:b w:val="0"/>
          <w:sz w:val="24"/>
          <w:szCs w:val="24"/>
        </w:rPr>
        <w:t>Monitoring sites will be set up in the core tea gardens of Yangloudong. Students will collect soil, water, and air samples on site and test key parameters, including pH value, heavy metal content, organic matter, nitrogen, phosphorus and potassium nutrients, water quality indicators such as COD, ammonia nitrogen, and total phosphorus, as well as air quality indicators such as PM2.5, PM10, and negative oxygen ion concentration. They will scientifically evaluate the impact of tea industry activities on the local ecological environment and produce an ecological evaluation report with protection suggestions.</w:t>
      </w:r>
    </w:p>
    <w:p w14:paraId="43BC68E8">
      <w:pPr>
        <w:pStyle w:val="6"/>
        <w:widowControl/>
        <w:rPr>
          <w:rFonts w:ascii="Times New Roman" w:hAnsi="Times New Roman" w:eastAsia="宋体" w:cs="Times New Roman"/>
          <w:b/>
          <w:sz w:val="24"/>
          <w:szCs w:val="24"/>
        </w:rPr>
      </w:pPr>
      <w:r>
        <w:rPr>
          <w:rStyle w:val="12"/>
          <w:rFonts w:ascii="Times New Roman" w:hAnsi="Times New Roman" w:eastAsia="宋体" w:cs="Times New Roman"/>
          <w:color w:val="0F1115"/>
          <w:sz w:val="24"/>
          <w:szCs w:val="24"/>
        </w:rPr>
        <w:t>主题6：羊楼洞茶产业发展现状调研与品牌提升策略研究</w:t>
      </w:r>
    </w:p>
    <w:p w14:paraId="54B2752A">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Theme 6: Research on the Current Development of the Yangloudong Tea Industry and Brand Enhancement Strategies</w:t>
      </w:r>
      <w:r>
        <w:rPr>
          <w:rFonts w:ascii="Times New Roman" w:hAnsi="Times New Roman" w:eastAsia="宋体" w:cs="Times New Roman"/>
          <w:b/>
          <w:sz w:val="24"/>
          <w:szCs w:val="24"/>
        </w:rPr>
        <w:br w:type="textWrapping"/>
      </w:r>
      <w:r>
        <w:rPr>
          <w:rFonts w:ascii="Times New Roman" w:hAnsi="Times New Roman" w:eastAsia="宋体" w:cs="Times New Roman"/>
          <w:color w:val="0F1115"/>
          <w:sz w:val="24"/>
          <w:szCs w:val="24"/>
        </w:rPr>
        <w:t>深入调研青砖茶“种植—加工—销售—文旅”全产业链，分析产业规模、经济效益、品牌影响力及市场竞争格局；对标省内及全国知名茶产区，找出差距与优势，提出羊楼洞茶产业升级路径与品牌提升策略。</w:t>
      </w:r>
    </w:p>
    <w:p w14:paraId="7FFDD1A6">
      <w:pPr>
        <w:pStyle w:val="6"/>
        <w:widowControl/>
        <w:rPr>
          <w:rFonts w:ascii="Times New Roman" w:hAnsi="Times New Roman" w:eastAsia="宋体" w:cs="Times New Roman"/>
          <w:color w:val="0F1115"/>
          <w:sz w:val="24"/>
          <w:szCs w:val="24"/>
        </w:rPr>
      </w:pPr>
      <w:r>
        <w:rPr>
          <w:rFonts w:ascii="Times New Roman" w:hAnsi="Times New Roman" w:eastAsia="宋体" w:cs="Times New Roman"/>
          <w:b w:val="0"/>
          <w:sz w:val="24"/>
          <w:szCs w:val="24"/>
        </w:rPr>
        <w:t>Students will conduct in-depth research on the full industrial chain of Qingzhuan tea, covering “planting-processing-sales-culture and tourism.” They will analyze industrial scale, economic benefits, brand influence, and market competition patterns. By benchmarking against well-known tea-producing areas within Hubei Province and across China, they will identify gaps and advantages, and propose development pathways for upgrading the Yangloudong tea industry and enhancing its brand.</w:t>
      </w:r>
    </w:p>
    <w:p w14:paraId="1193B41B">
      <w:pPr>
        <w:pStyle w:val="2"/>
        <w:numPr>
          <w:ilvl w:val="0"/>
          <w:numId w:val="2"/>
        </w:numPr>
        <w:shd w:val="clear" w:color="auto" w:fill="FFFFFF"/>
        <w:topLinePunct w:val="0"/>
        <w:ind w:left="0" w:leftChars="0" w:firstLine="0" w:firstLineChars="0"/>
        <w:rPr>
          <w:rFonts w:hint="eastAsia" w:ascii="黑体" w:hAnsi="黑体" w:eastAsia="黑体" w:cs="黑体"/>
          <w:b w:val="0"/>
        </w:rPr>
      </w:pPr>
      <w:r>
        <w:t>智能技术应用与创新发展</w:t>
      </w:r>
    </w:p>
    <w:p w14:paraId="71FB1F10">
      <w:pPr>
        <w:pStyle w:val="3"/>
        <w:shd w:val="clear" w:color="auto" w:fill="FFFFFF"/>
      </w:pPr>
      <w:r>
        <w:t>4. Application of Intelligent Technology and Innovative Development</w:t>
      </w:r>
    </w:p>
    <w:p w14:paraId="6E96E7B9">
      <w:pPr>
        <w:pStyle w:val="6"/>
        <w:widowControl/>
        <w:rPr>
          <w:rFonts w:ascii="Times New Roman" w:hAnsi="Times New Roman" w:eastAsia="宋体" w:cs="Times New Roman"/>
          <w:b/>
          <w:sz w:val="24"/>
          <w:szCs w:val="24"/>
        </w:rPr>
      </w:pPr>
      <w:r>
        <w:rPr>
          <w:rStyle w:val="12"/>
          <w:rFonts w:ascii="Times New Roman" w:hAnsi="Times New Roman" w:eastAsia="宋体" w:cs="Times New Roman"/>
          <w:color w:val="0F1115"/>
          <w:sz w:val="24"/>
          <w:szCs w:val="24"/>
        </w:rPr>
        <w:t>主题7：“AI+茶文旅”服务智能体开发</w:t>
      </w:r>
    </w:p>
    <w:p w14:paraId="165A065E">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Theme 7: Development of an “AI + Tea Culture and Tourism” Service Agent</w:t>
      </w:r>
      <w:r>
        <w:rPr>
          <w:rFonts w:ascii="Times New Roman" w:hAnsi="Times New Roman" w:eastAsia="宋体" w:cs="Times New Roman"/>
          <w:b/>
          <w:sz w:val="24"/>
          <w:szCs w:val="24"/>
        </w:rPr>
        <w:br w:type="textWrapping"/>
      </w:r>
      <w:r>
        <w:rPr>
          <w:rFonts w:ascii="Times New Roman" w:hAnsi="Times New Roman" w:eastAsia="宋体" w:cs="Times New Roman"/>
          <w:color w:val="0F1115"/>
          <w:sz w:val="24"/>
          <w:szCs w:val="24"/>
        </w:rPr>
        <w:t>基于前期调研数据与地图成果，开发面向游客的综合服务智能体，集成智能问答、个性化路线推荐、语音讲解、茶文化科普、文创产品导购等功能，以人工智能提升羊楼洞文旅服务体验，探索“AI+乡村振兴”创新应用场景。</w:t>
      </w:r>
    </w:p>
    <w:p w14:paraId="56D15A53">
      <w:pPr>
        <w:pStyle w:val="6"/>
        <w:widowControl/>
        <w:rPr>
          <w:rFonts w:ascii="Times New Roman" w:hAnsi="Times New Roman" w:eastAsia="宋体" w:cs="Times New Roman"/>
          <w:color w:val="0F1115"/>
          <w:sz w:val="24"/>
          <w:szCs w:val="24"/>
        </w:rPr>
      </w:pPr>
      <w:r>
        <w:rPr>
          <w:rFonts w:ascii="Times New Roman" w:hAnsi="Times New Roman" w:eastAsia="宋体" w:cs="Times New Roman"/>
          <w:b w:val="0"/>
          <w:sz w:val="24"/>
          <w:szCs w:val="24"/>
        </w:rPr>
        <w:t>Based on previous research data and mapping results, students will develop an integrated service agent for tourists. The agent will include functions such as intelligent Q&amp;A, personalized route recommendations, voice narration, tea culture popularization, and cultural and creative product shopping guidance. It will use artificial intelligence to improve the cultural tourism service experience in Yangloudong and explore innovative application scenarios for “AI + rural revitalization.”</w:t>
      </w:r>
    </w:p>
    <w:p w14:paraId="7CE6AF1A">
      <w:pPr>
        <w:pStyle w:val="6"/>
        <w:widowControl/>
        <w:rPr>
          <w:rFonts w:ascii="Times New Roman" w:hAnsi="Times New Roman" w:eastAsia="宋体" w:cs="Times New Roman"/>
          <w:b/>
          <w:sz w:val="24"/>
          <w:szCs w:val="24"/>
        </w:rPr>
      </w:pPr>
      <w:r>
        <w:rPr>
          <w:rStyle w:val="12"/>
          <w:rFonts w:ascii="Times New Roman" w:hAnsi="Times New Roman" w:eastAsia="宋体" w:cs="Times New Roman"/>
          <w:color w:val="0F1115"/>
          <w:sz w:val="24"/>
          <w:szCs w:val="24"/>
        </w:rPr>
        <w:t>主题8：羊楼洞“五位一体”首善之区建设评价体系构建与发展路径研究</w:t>
      </w:r>
    </w:p>
    <w:p w14:paraId="456FAA7E">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Theme 8: Construction of an Evaluation System and Development Pathway for Yangloudong’s Five-in-One “Model District of Excellence”</w:t>
      </w:r>
      <w:r>
        <w:rPr>
          <w:rFonts w:ascii="Times New Roman" w:hAnsi="Times New Roman" w:eastAsia="宋体" w:cs="Times New Roman"/>
          <w:b/>
          <w:sz w:val="24"/>
          <w:szCs w:val="24"/>
        </w:rPr>
        <w:br w:type="textWrapping"/>
      </w:r>
      <w:r>
        <w:rPr>
          <w:rFonts w:ascii="Times New Roman" w:hAnsi="Times New Roman" w:eastAsia="宋体" w:cs="Times New Roman"/>
          <w:color w:val="0F1115"/>
          <w:sz w:val="24"/>
          <w:szCs w:val="24"/>
        </w:rPr>
        <w:t>立足街情与咸宁市情、放眼全省，运用具体数据综合分析评价蒲圻街道的优势与短板；构建产业升级、农旅特色、古街文化、社会善治、生活宜居“五位一体”的可量化标准体系；明确三至五年内分阶段实施路径与重点任务，为当地政府决策提供科学依据与青年方案。</w:t>
      </w:r>
    </w:p>
    <w:p w14:paraId="5473C208">
      <w:pPr>
        <w:pStyle w:val="6"/>
        <w:widowControl/>
        <w:rPr>
          <w:rFonts w:ascii="Times New Roman" w:hAnsi="Times New Roman" w:eastAsia="宋体" w:cs="Times New Roman"/>
          <w:color w:val="0F1115"/>
          <w:sz w:val="24"/>
          <w:szCs w:val="24"/>
        </w:rPr>
      </w:pPr>
      <w:r>
        <w:rPr>
          <w:rFonts w:ascii="Times New Roman" w:hAnsi="Times New Roman" w:eastAsia="宋体" w:cs="Times New Roman"/>
          <w:b w:val="0"/>
          <w:sz w:val="24"/>
          <w:szCs w:val="24"/>
        </w:rPr>
        <w:t>Based on the conditions of the street and Xianning City, while also considering the broader context of Hubei Province, students will use concrete data to comprehensively analyze and evaluate the strengths and weaknesses of Puqi Subdistrict. They will construct a quantifiable standard system covering five integrated dimensions: industrial upgrading, distinctive agriculture-tourism development, ancient street culture, sound social governance, and livable communities. They will also clarify phased implementation pathways and key tasks within the next three to five years, providing scientific evidence and youth-oriented proposals for local government decision-making.</w:t>
      </w:r>
    </w:p>
    <w:p w14:paraId="59F07195">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主题9:茶园光谱测量分析与产业应用</w:t>
      </w:r>
    </w:p>
    <w:p w14:paraId="674CD974">
      <w:pPr>
        <w:pStyle w:val="6"/>
        <w:widowControl/>
        <w:rPr>
          <w:rFonts w:ascii="Times New Roman" w:hAnsi="Times New Roman" w:eastAsia="宋体" w:cs="Times New Roman"/>
          <w:b/>
          <w:sz w:val="24"/>
          <w:szCs w:val="24"/>
        </w:rPr>
      </w:pPr>
      <w:r>
        <w:rPr>
          <w:rFonts w:ascii="Times New Roman" w:hAnsi="Times New Roman" w:eastAsia="宋体" w:cs="Times New Roman"/>
          <w:b/>
          <w:sz w:val="24"/>
          <w:szCs w:val="24"/>
        </w:rPr>
        <w:t>Theme 9: Spectral Measurement, Analysis and Industrial Applications of Tea Gardens</w:t>
      </w:r>
      <w:r>
        <w:rPr>
          <w:rFonts w:ascii="Times New Roman" w:hAnsi="Times New Roman" w:eastAsia="宋体" w:cs="Times New Roman"/>
          <w:b/>
          <w:sz w:val="24"/>
          <w:szCs w:val="24"/>
        </w:rPr>
        <w:br w:type="textWrapping"/>
      </w:r>
      <w:r>
        <w:rPr>
          <w:rFonts w:ascii="Times New Roman" w:hAnsi="Times New Roman" w:eastAsia="宋体" w:cs="Times New Roman"/>
          <w:sz w:val="24"/>
          <w:szCs w:val="24"/>
        </w:rPr>
        <w:t>围绕茶园采摘区、已采摘区及不同成熟度茶叶开展光谱测量，采集茶田冠层和茶叶样品光谱数据，分析不同生长状态、采摘阶段和成熟度茶叶的光谱响应特征，提取与茶叶长势、产量和品质相关的关键光谱指标，构建茶叶产量估算模型和产品质量评价方法，为茶园精细化管理、适时采摘和茶叶品质提升提供遥感监测与数据支撑。</w:t>
      </w:r>
    </w:p>
    <w:p w14:paraId="7A43C568">
      <w:pPr>
        <w:pStyle w:val="6"/>
        <w:widowControl/>
        <w:rPr>
          <w:rFonts w:ascii="Times New Roman" w:hAnsi="Times New Roman" w:eastAsia="宋体" w:cs="Times New Roman"/>
          <w:color w:val="0F1115"/>
          <w:sz w:val="24"/>
          <w:szCs w:val="24"/>
        </w:rPr>
      </w:pPr>
      <w:r>
        <w:rPr>
          <w:rFonts w:ascii="Times New Roman" w:hAnsi="Times New Roman" w:eastAsia="宋体" w:cs="Times New Roman"/>
          <w:sz w:val="24"/>
          <w:szCs w:val="24"/>
        </w:rPr>
        <w:t>Spectral measurements will be conducted in tea-picking areas, harvested areas, and tea leaves at different maturity stages. Spectral data of tea plantation canopies and leaf samples will be collected. Spectral response characteristics of tea under different growth conditions, harvesting stages, and maturity levels will be analyzed. Key spectral indicators related to tea growth status, yield, and quality will be extracted. A tea yield estimation model and product quality evaluation method will be constructed, providing remote sensing monitoring and data support for refined tea garden management, timely harvesting, and tea quality improvement.</w:t>
      </w:r>
    </w:p>
    <w:p w14:paraId="27A8F764">
      <w:pPr>
        <w:pStyle w:val="2"/>
        <w:numPr>
          <w:ilvl w:val="0"/>
          <w:numId w:val="1"/>
        </w:numPr>
        <w:topLinePunct w:val="0"/>
        <w:ind w:left="0" w:leftChars="0" w:firstLine="0" w:firstLineChars="0"/>
        <w:rPr>
          <w:rFonts w:hint="eastAsia" w:ascii="黑体" w:hAnsi="黑体" w:eastAsia="黑体" w:cs="黑体"/>
          <w:b w:val="0"/>
        </w:rPr>
      </w:pPr>
      <w:r>
        <w:t>日程安排</w:t>
      </w:r>
    </w:p>
    <w:p w14:paraId="2F6AE434">
      <w:pPr>
        <w:pStyle w:val="3"/>
      </w:pPr>
      <w:r>
        <w:t>III. Schedule</w:t>
      </w:r>
    </w:p>
    <w:p w14:paraId="1774D94B">
      <w:pPr>
        <w:pStyle w:val="6"/>
        <w:rPr>
          <w:rFonts w:ascii="Times New Roman" w:hAnsi="Times New Roman" w:eastAsia="宋体" w:cs="Times New Roman"/>
          <w:sz w:val="24"/>
          <w:szCs w:val="24"/>
        </w:rPr>
      </w:pPr>
      <w:r>
        <w:rPr>
          <w:rFonts w:ascii="Times New Roman" w:hAnsi="Times New Roman" w:eastAsia="宋体" w:cs="Times New Roman"/>
          <w:sz w:val="24"/>
          <w:szCs w:val="24"/>
        </w:rPr>
        <w:t>出发前安排时间——做好实习实践计划。</w:t>
      </w:r>
    </w:p>
    <w:tbl>
      <w:tblPr>
        <w:tblStyle w:val="13"/>
        <w:tblW w:w="0" w:type="auto"/>
        <w:jc w:val="center"/>
        <w:tblInd w:w="0" w:type="dxa"/>
        <w:tblLayout w:type="fixed"/>
        <w:tblCellMar>
          <w:top w:w="15" w:type="dxa"/>
          <w:left w:w="15" w:type="dxa"/>
          <w:bottom w:w="15" w:type="dxa"/>
          <w:right w:w="15" w:type="dxa"/>
        </w:tblCellMar>
      </w:tblPr>
      <w:tblGrid>
        <w:gridCol w:w="1312"/>
        <w:gridCol w:w="903"/>
        <w:gridCol w:w="5728"/>
      </w:tblGrid>
      <w:tr w14:paraId="2000C52A">
        <w:tblPrEx>
          <w:tblLayout w:type="fixed"/>
        </w:tblPrEx>
        <w:trPr>
          <w:trHeight w:val="341" w:hRule="atLeast"/>
          <w:jc w:val="center"/>
        </w:trPr>
        <w:tc>
          <w:tcPr>
            <w:tcW w:w="1312"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B42A501">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日期</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2A5D22E">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时间</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E02B08A">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内容</w:t>
            </w:r>
          </w:p>
        </w:tc>
      </w:tr>
      <w:tr w14:paraId="2B6615FF">
        <w:tblPrEx>
          <w:tblLayout w:type="fixed"/>
        </w:tblPrEx>
        <w:trPr>
          <w:trHeight w:val="799" w:hRule="atLeast"/>
          <w:jc w:val="center"/>
        </w:trPr>
        <w:tc>
          <w:tcPr>
            <w:tcW w:w="1312"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6034DF2">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7.</w:t>
            </w:r>
            <w:r>
              <w:rPr>
                <w:rFonts w:ascii="宋体" w:hAnsi="宋体" w:eastAsia="宋体" w:cs="宋体"/>
                <w:color w:val="000000"/>
                <w:szCs w:val="24"/>
              </w:rPr>
              <w:t>9</w:t>
            </w:r>
            <w:r>
              <w:rPr>
                <w:rFonts w:hint="eastAsia" w:ascii="宋体" w:hAnsi="宋体" w:eastAsia="宋体" w:cs="宋体"/>
                <w:color w:val="000000"/>
                <w:sz w:val="22"/>
              </w:rPr>
              <w:t>周四</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5581964">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上午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1DE1251">
            <w:pPr>
              <w:pStyle w:val="9"/>
              <w:widowControl/>
              <w:spacing w:beforeAutospacing="0" w:afterAutospacing="0"/>
              <w:rPr>
                <w:rFonts w:ascii="宋体" w:hAnsi="宋体" w:eastAsia="宋体"/>
                <w:sz w:val="21"/>
                <w:szCs w:val="21"/>
              </w:rPr>
            </w:pPr>
            <w:r>
              <w:rPr>
                <w:rFonts w:hint="eastAsia" w:ascii="宋体" w:hAnsi="宋体" w:eastAsia="宋体" w:cs="宋体"/>
                <w:color w:val="000000"/>
                <w:sz w:val="21"/>
                <w:szCs w:val="21"/>
              </w:rPr>
              <w:t>9：00集合，坐车从武汉大学出发，到达古镇，跟随指导老师参观，了解古镇整体情况，了解古街历史文化。</w:t>
            </w:r>
          </w:p>
        </w:tc>
      </w:tr>
      <w:tr w14:paraId="6B395C36">
        <w:tblPrEx>
          <w:tblLayout w:type="fixed"/>
        </w:tblPrEx>
        <w:trPr>
          <w:trHeight w:val="784"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CFA3B81">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BAA9E58">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下午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8297863">
            <w:pPr>
              <w:pStyle w:val="9"/>
              <w:widowControl/>
              <w:spacing w:beforeAutospacing="0" w:afterAutospacing="0"/>
              <w:rPr>
                <w:rFonts w:ascii="宋体" w:hAnsi="宋体" w:eastAsia="宋体"/>
                <w:sz w:val="21"/>
                <w:szCs w:val="21"/>
              </w:rPr>
            </w:pPr>
            <w:r>
              <w:rPr>
                <w:rFonts w:hint="eastAsia" w:ascii="宋体" w:hAnsi="宋体" w:eastAsia="宋体" w:cs="宋体"/>
                <w:color w:val="000000"/>
                <w:sz w:val="21"/>
                <w:szCs w:val="21"/>
              </w:rPr>
              <w:t>参观中国青砖茶博物馆，拍摄记录具有特色内容，与工作人员交流，在古镇街使用无人机拍摄素材。</w:t>
            </w:r>
          </w:p>
        </w:tc>
      </w:tr>
      <w:tr w14:paraId="6BE72A0F">
        <w:tblPrEx>
          <w:tblLayout w:type="fixed"/>
        </w:tblPrEx>
        <w:trPr>
          <w:trHeight w:val="662"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7058F0E">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AD99F5E">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晚上</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BFC79B4">
            <w:pPr>
              <w:pStyle w:val="9"/>
              <w:widowControl/>
              <w:spacing w:beforeAutospacing="0" w:afterAutospacing="0"/>
              <w:rPr>
                <w:rFonts w:ascii="宋体" w:hAnsi="宋体" w:eastAsia="宋体"/>
                <w:sz w:val="21"/>
                <w:szCs w:val="21"/>
              </w:rPr>
            </w:pPr>
            <w:r>
              <w:rPr>
                <w:rFonts w:hint="eastAsia" w:ascii="宋体" w:hAnsi="宋体" w:eastAsia="宋体" w:cs="宋体"/>
                <w:color w:val="000000"/>
                <w:sz w:val="21"/>
                <w:szCs w:val="21"/>
              </w:rPr>
              <w:t>整理素材，结合当地实际情况，完善调研内容，调整任务安排。采夜景。</w:t>
            </w:r>
          </w:p>
        </w:tc>
      </w:tr>
      <w:tr w14:paraId="70AF4AC0">
        <w:tblPrEx>
          <w:tblLayout w:type="fixed"/>
        </w:tblPrEx>
        <w:trPr>
          <w:trHeight w:val="48" w:hRule="atLeast"/>
          <w:jc w:val="center"/>
        </w:trPr>
        <w:tc>
          <w:tcPr>
            <w:tcW w:w="1312"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8CDA857">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7.</w:t>
            </w:r>
            <w:r>
              <w:rPr>
                <w:rFonts w:ascii="宋体" w:hAnsi="宋体" w:eastAsia="宋体" w:cs="宋体"/>
                <w:color w:val="000000"/>
                <w:szCs w:val="24"/>
              </w:rPr>
              <w:t>10</w:t>
            </w:r>
            <w:r>
              <w:rPr>
                <w:rFonts w:hint="eastAsia" w:ascii="宋体" w:hAnsi="宋体" w:eastAsia="宋体" w:cs="宋体"/>
                <w:color w:val="000000"/>
                <w:sz w:val="22"/>
              </w:rPr>
              <w:t>周五</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4E8E8C7">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上午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925F169">
            <w:pPr>
              <w:pStyle w:val="9"/>
              <w:widowControl/>
              <w:spacing w:beforeAutospacing="0" w:afterAutospacing="0"/>
              <w:rPr>
                <w:rFonts w:ascii="宋体" w:hAnsi="宋体" w:eastAsia="宋体"/>
                <w:sz w:val="21"/>
                <w:szCs w:val="21"/>
              </w:rPr>
            </w:pPr>
            <w:r>
              <w:rPr>
                <w:rFonts w:hint="eastAsia" w:ascii="宋体" w:hAnsi="宋体" w:eastAsia="宋体" w:cs="宋体"/>
                <w:color w:val="000000"/>
                <w:sz w:val="21"/>
                <w:szCs w:val="21"/>
              </w:rPr>
              <w:t>前往赵李桥茶厂，参观产业生产和拍摄素材，采访工作人员。前往洞庄茶厂，参观生产过程、调研企业。</w:t>
            </w:r>
          </w:p>
        </w:tc>
      </w:tr>
      <w:tr w14:paraId="51314764">
        <w:tblPrEx>
          <w:tblLayout w:type="fixed"/>
        </w:tblPrEx>
        <w:trPr>
          <w:trHeight w:val="341"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4E9242D">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AFB77BA">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下午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DDC956F">
            <w:pPr>
              <w:pStyle w:val="9"/>
              <w:widowControl/>
              <w:spacing w:beforeAutospacing="0" w:afterAutospacing="0"/>
              <w:rPr>
                <w:rFonts w:ascii="宋体" w:hAnsi="宋体" w:eastAsia="宋体"/>
                <w:sz w:val="21"/>
                <w:szCs w:val="21"/>
              </w:rPr>
            </w:pPr>
            <w:r>
              <w:rPr>
                <w:rFonts w:hint="eastAsia" w:ascii="宋体" w:hAnsi="宋体" w:eastAsia="宋体" w:cs="宋体"/>
                <w:color w:val="000000"/>
                <w:sz w:val="21"/>
                <w:szCs w:val="21"/>
              </w:rPr>
              <w:t>前往茶园，拍摄素材，取样踩点，完成第一次茶园水质、土壤和空气采样。</w:t>
            </w:r>
          </w:p>
        </w:tc>
      </w:tr>
      <w:tr w14:paraId="04E0699F">
        <w:tblPrEx>
          <w:tblLayout w:type="fixed"/>
        </w:tblPrEx>
        <w:trPr>
          <w:trHeight w:val="341"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FEB41CF">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8A99CD8">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晚上</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3E9EF56">
            <w:pPr>
              <w:pStyle w:val="9"/>
              <w:widowControl/>
              <w:spacing w:beforeAutospacing="0" w:afterAutospacing="0"/>
              <w:rPr>
                <w:rFonts w:ascii="宋体" w:hAnsi="宋体" w:eastAsia="宋体"/>
                <w:sz w:val="21"/>
                <w:szCs w:val="21"/>
              </w:rPr>
            </w:pPr>
            <w:r>
              <w:rPr>
                <w:rFonts w:hint="eastAsia" w:ascii="宋体" w:hAnsi="宋体" w:eastAsia="宋体" w:cs="宋体"/>
                <w:color w:val="000000"/>
                <w:sz w:val="21"/>
                <w:szCs w:val="21"/>
              </w:rPr>
              <w:t>汇总与整理当天的调研结果，视频制作</w:t>
            </w:r>
          </w:p>
        </w:tc>
      </w:tr>
      <w:tr w14:paraId="592A81CB">
        <w:tblPrEx>
          <w:tblLayout w:type="fixed"/>
        </w:tblPrEx>
        <w:trPr>
          <w:trHeight w:val="798" w:hRule="atLeast"/>
          <w:jc w:val="center"/>
        </w:trPr>
        <w:tc>
          <w:tcPr>
            <w:tcW w:w="1312"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650F3A3">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7.</w:t>
            </w:r>
            <w:r>
              <w:rPr>
                <w:rFonts w:ascii="宋体" w:hAnsi="宋体" w:eastAsia="宋体" w:cs="宋体"/>
                <w:color w:val="000000"/>
                <w:szCs w:val="24"/>
              </w:rPr>
              <w:t>11</w:t>
            </w:r>
            <w:r>
              <w:rPr>
                <w:rFonts w:hint="eastAsia" w:ascii="宋体" w:hAnsi="宋体" w:eastAsia="宋体" w:cs="宋体"/>
                <w:color w:val="000000"/>
                <w:sz w:val="22"/>
              </w:rPr>
              <w:t>周六</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6D9A939">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上午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7C688AF">
            <w:pPr>
              <w:pStyle w:val="9"/>
              <w:widowControl/>
              <w:spacing w:beforeAutospacing="0" w:afterAutospacing="0"/>
              <w:rPr>
                <w:rFonts w:ascii="宋体" w:hAnsi="宋体" w:eastAsia="宋体"/>
                <w:sz w:val="21"/>
                <w:szCs w:val="21"/>
              </w:rPr>
            </w:pPr>
            <w:r>
              <w:rPr>
                <w:rFonts w:hint="eastAsia" w:ascii="宋体" w:hAnsi="宋体" w:eastAsia="宋体"/>
                <w:sz w:val="21"/>
                <w:szCs w:val="21"/>
              </w:rPr>
              <w:t>分小组进行服务实践（</w:t>
            </w:r>
            <w:r>
              <w:rPr>
                <w:rFonts w:hint="eastAsia" w:ascii="宋体" w:hAnsi="宋体" w:eastAsia="宋体" w:cs="宋体"/>
                <w:color w:val="000000"/>
                <w:sz w:val="21"/>
                <w:szCs w:val="21"/>
              </w:rPr>
              <w:t>走访古镇街道，调查茶产品，非遗等与商户交谈，了解茶产品销售情况和问题以及新产品建议等</w:t>
            </w:r>
            <w:r>
              <w:rPr>
                <w:rFonts w:hint="eastAsia" w:ascii="宋体" w:hAnsi="宋体" w:eastAsia="宋体"/>
                <w:sz w:val="21"/>
                <w:szCs w:val="21"/>
              </w:rPr>
              <w:t>）</w:t>
            </w:r>
          </w:p>
        </w:tc>
      </w:tr>
      <w:tr w14:paraId="20A40102">
        <w:tblPrEx>
          <w:tblLayout w:type="fixed"/>
        </w:tblPrEx>
        <w:trPr>
          <w:trHeight w:val="662"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ACB9053">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FF100DF">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下午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BBC0753">
            <w:pPr>
              <w:pStyle w:val="9"/>
              <w:widowControl/>
              <w:spacing w:beforeAutospacing="0" w:afterAutospacing="0"/>
              <w:rPr>
                <w:rFonts w:ascii="宋体" w:hAnsi="宋体" w:eastAsia="宋体"/>
                <w:sz w:val="21"/>
                <w:szCs w:val="21"/>
              </w:rPr>
            </w:pPr>
            <w:r>
              <w:rPr>
                <w:rFonts w:hint="eastAsia" w:ascii="宋体" w:hAnsi="宋体" w:eastAsia="宋体"/>
                <w:sz w:val="21"/>
                <w:szCs w:val="21"/>
              </w:rPr>
              <w:t>分小组进行服务实践</w:t>
            </w:r>
          </w:p>
        </w:tc>
      </w:tr>
      <w:tr w14:paraId="077E8EF3">
        <w:tblPrEx>
          <w:tblLayout w:type="fixed"/>
        </w:tblPrEx>
        <w:trPr>
          <w:trHeight w:val="341"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8F99202">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68E7B3C">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晚上</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527FB90">
            <w:pPr>
              <w:pStyle w:val="9"/>
              <w:widowControl/>
              <w:spacing w:beforeAutospacing="0" w:afterAutospacing="0"/>
              <w:rPr>
                <w:rFonts w:ascii="宋体" w:hAnsi="宋体" w:eastAsia="宋体"/>
                <w:sz w:val="21"/>
                <w:szCs w:val="21"/>
              </w:rPr>
            </w:pPr>
            <w:r>
              <w:rPr>
                <w:rFonts w:hint="eastAsia" w:ascii="宋体" w:hAnsi="宋体" w:eastAsia="宋体" w:cs="宋体"/>
                <w:color w:val="000000"/>
                <w:sz w:val="21"/>
                <w:szCs w:val="21"/>
              </w:rPr>
              <w:t>汇总整理调研结果，视频制作</w:t>
            </w:r>
          </w:p>
        </w:tc>
      </w:tr>
      <w:tr w14:paraId="1015834C">
        <w:tblPrEx>
          <w:tblLayout w:type="fixed"/>
        </w:tblPrEx>
        <w:trPr>
          <w:trHeight w:val="437" w:hRule="atLeast"/>
          <w:jc w:val="center"/>
        </w:trPr>
        <w:tc>
          <w:tcPr>
            <w:tcW w:w="1312"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60EEC55">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7.</w:t>
            </w:r>
            <w:r>
              <w:rPr>
                <w:rFonts w:ascii="宋体" w:hAnsi="宋体" w:eastAsia="宋体" w:cs="宋体"/>
                <w:color w:val="000000"/>
                <w:szCs w:val="24"/>
              </w:rPr>
              <w:t>12</w:t>
            </w:r>
            <w:r>
              <w:rPr>
                <w:rFonts w:hint="eastAsia" w:ascii="宋体" w:hAnsi="宋体" w:eastAsia="宋体" w:cs="宋体"/>
                <w:color w:val="000000"/>
                <w:sz w:val="22"/>
              </w:rPr>
              <w:t>周日</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7FA58A0">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上午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A35D62A">
            <w:pPr>
              <w:pStyle w:val="9"/>
              <w:widowControl/>
              <w:spacing w:beforeAutospacing="0" w:afterAutospacing="0"/>
              <w:rPr>
                <w:rFonts w:ascii="宋体" w:hAnsi="宋体" w:eastAsia="宋体"/>
                <w:sz w:val="21"/>
                <w:szCs w:val="21"/>
              </w:rPr>
            </w:pPr>
            <w:r>
              <w:rPr>
                <w:rFonts w:hint="eastAsia" w:ascii="宋体" w:hAnsi="宋体" w:eastAsia="宋体"/>
                <w:sz w:val="21"/>
                <w:szCs w:val="21"/>
              </w:rPr>
              <w:t>分小组进行服务实践</w:t>
            </w:r>
          </w:p>
        </w:tc>
      </w:tr>
      <w:tr w14:paraId="234A97D4">
        <w:tblPrEx>
          <w:tblLayout w:type="fixed"/>
        </w:tblPrEx>
        <w:trPr>
          <w:trHeight w:val="756"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3E46EEE">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2450CF9">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下午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DAAF9D9">
            <w:pPr>
              <w:pStyle w:val="9"/>
              <w:widowControl/>
              <w:spacing w:beforeAutospacing="0" w:afterAutospacing="0"/>
              <w:rPr>
                <w:rFonts w:ascii="宋体" w:hAnsi="宋体" w:eastAsia="宋体"/>
                <w:sz w:val="21"/>
                <w:szCs w:val="21"/>
              </w:rPr>
            </w:pPr>
            <w:r>
              <w:rPr>
                <w:rFonts w:hint="eastAsia" w:ascii="宋体" w:hAnsi="宋体" w:eastAsia="宋体"/>
                <w:sz w:val="21"/>
                <w:szCs w:val="21"/>
              </w:rPr>
              <w:t>分小组进行服务实践</w:t>
            </w:r>
          </w:p>
        </w:tc>
      </w:tr>
      <w:tr w14:paraId="1739DC21">
        <w:tblPrEx>
          <w:tblLayout w:type="fixed"/>
        </w:tblPrEx>
        <w:trPr>
          <w:trHeight w:val="341"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BB59935">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F714FF2">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晚上</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C61C656">
            <w:pPr>
              <w:pStyle w:val="9"/>
              <w:widowControl/>
              <w:spacing w:beforeAutospacing="0" w:afterAutospacing="0"/>
              <w:rPr>
                <w:rFonts w:ascii="宋体" w:hAnsi="宋体" w:eastAsia="宋体"/>
                <w:sz w:val="21"/>
                <w:szCs w:val="21"/>
              </w:rPr>
            </w:pPr>
            <w:r>
              <w:rPr>
                <w:rFonts w:hint="eastAsia" w:ascii="宋体" w:hAnsi="宋体" w:eastAsia="宋体" w:cs="宋体"/>
                <w:color w:val="000000"/>
                <w:sz w:val="21"/>
                <w:szCs w:val="21"/>
              </w:rPr>
              <w:t>整理调研成果，完成建议书、基本完成视频。</w:t>
            </w:r>
          </w:p>
        </w:tc>
      </w:tr>
      <w:tr w14:paraId="25F5E8D6">
        <w:tblPrEx>
          <w:tblLayout w:type="fixed"/>
        </w:tblPrEx>
        <w:trPr>
          <w:trHeight w:val="341" w:hRule="atLeast"/>
          <w:jc w:val="center"/>
        </w:trPr>
        <w:tc>
          <w:tcPr>
            <w:tcW w:w="1312"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112FB4D">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7.1</w:t>
            </w:r>
            <w:r>
              <w:rPr>
                <w:rFonts w:ascii="宋体" w:hAnsi="宋体" w:eastAsia="宋体" w:cs="宋体"/>
                <w:color w:val="000000"/>
                <w:szCs w:val="24"/>
              </w:rPr>
              <w:t>3</w:t>
            </w:r>
            <w:r>
              <w:rPr>
                <w:rFonts w:hint="eastAsia" w:ascii="宋体" w:hAnsi="宋体" w:eastAsia="宋体" w:cs="宋体"/>
                <w:color w:val="000000"/>
                <w:sz w:val="22"/>
              </w:rPr>
              <w:t>周一</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BBFA40D">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上午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5DDFC06">
            <w:pPr>
              <w:rPr>
                <w:rFonts w:ascii="宋体" w:hAnsi="宋体" w:eastAsia="宋体"/>
                <w:sz w:val="21"/>
                <w:szCs w:val="21"/>
              </w:rPr>
            </w:pPr>
            <w:r>
              <w:rPr>
                <w:rFonts w:hint="eastAsia" w:ascii="宋体" w:hAnsi="宋体" w:eastAsia="宋体"/>
                <w:sz w:val="21"/>
                <w:szCs w:val="21"/>
              </w:rPr>
              <w:t>回武汉。</w:t>
            </w:r>
          </w:p>
        </w:tc>
      </w:tr>
      <w:tr w14:paraId="56E078BD">
        <w:tblPrEx>
          <w:tblLayout w:type="fixed"/>
        </w:tblPrEx>
        <w:trPr>
          <w:trHeight w:val="341"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E140251">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E7481A6">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下午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EB07A1A">
            <w:pPr>
              <w:rPr>
                <w:rFonts w:ascii="宋体" w:hAnsi="宋体" w:eastAsia="宋体"/>
                <w:sz w:val="21"/>
                <w:szCs w:val="21"/>
              </w:rPr>
            </w:pPr>
            <w:r>
              <w:rPr>
                <w:rFonts w:hint="eastAsia" w:ascii="宋体" w:hAnsi="宋体" w:eastAsia="宋体"/>
                <w:sz w:val="21"/>
                <w:szCs w:val="21"/>
              </w:rPr>
              <w:t>进一步完善成果准备。</w:t>
            </w:r>
          </w:p>
        </w:tc>
      </w:tr>
      <w:tr w14:paraId="032CE8EC">
        <w:tblPrEx>
          <w:tblLayout w:type="fixed"/>
        </w:tblPrEx>
        <w:trPr>
          <w:trHeight w:val="361" w:hRule="atLeast"/>
          <w:jc w:val="center"/>
        </w:trPr>
        <w:tc>
          <w:tcPr>
            <w:tcW w:w="1312"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292D803">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664409A">
            <w:pPr>
              <w:pStyle w:val="9"/>
              <w:widowControl/>
              <w:spacing w:beforeAutospacing="0" w:afterAutospacing="0"/>
              <w:jc w:val="center"/>
              <w:rPr>
                <w:rFonts w:ascii="宋体" w:hAnsi="宋体" w:eastAsia="宋体"/>
              </w:rPr>
            </w:pPr>
            <w:r>
              <w:rPr>
                <w:rFonts w:hint="eastAsia" w:ascii="宋体" w:hAnsi="宋体" w:eastAsia="宋体" w:cs="宋体"/>
                <w:color w:val="000000"/>
                <w:szCs w:val="24"/>
              </w:rPr>
              <w:t>晚上</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311014D">
            <w:pPr>
              <w:rPr>
                <w:rFonts w:ascii="宋体" w:hAnsi="宋体" w:eastAsia="宋体"/>
                <w:sz w:val="21"/>
                <w:szCs w:val="21"/>
              </w:rPr>
            </w:pPr>
            <w:r>
              <w:rPr>
                <w:rFonts w:hint="eastAsia" w:ascii="宋体" w:hAnsi="宋体" w:eastAsia="宋体"/>
                <w:sz w:val="21"/>
                <w:szCs w:val="21"/>
              </w:rPr>
              <w:t>进一步完善成果。</w:t>
            </w:r>
          </w:p>
        </w:tc>
      </w:tr>
      <w:tr w14:paraId="48DD3F60">
        <w:tblPrEx>
          <w:tblLayout w:type="fixed"/>
        </w:tblPrEx>
        <w:trPr>
          <w:trHeight w:val="361" w:hRule="atLeast"/>
          <w:jc w:val="center"/>
        </w:trPr>
        <w:tc>
          <w:tcPr>
            <w:tcW w:w="1312"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4A6B335">
            <w:pPr>
              <w:rPr>
                <w:rFonts w:ascii="宋体" w:hAnsi="宋体" w:eastAsia="宋体"/>
              </w:rPr>
            </w:pPr>
            <w:r>
              <w:rPr>
                <w:rFonts w:hint="eastAsia" w:ascii="宋体" w:hAnsi="宋体" w:eastAsia="宋体"/>
              </w:rPr>
              <w:t>7．1</w:t>
            </w:r>
            <w:r>
              <w:rPr>
                <w:rFonts w:ascii="宋体" w:hAnsi="宋体" w:eastAsia="宋体"/>
              </w:rPr>
              <w:t>4</w:t>
            </w:r>
            <w:r>
              <w:rPr>
                <w:rFonts w:hint="eastAsia" w:ascii="宋体" w:hAnsi="宋体" w:eastAsia="宋体"/>
              </w:rPr>
              <w:t>周二</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8E34FDD">
            <w:pPr>
              <w:pStyle w:val="9"/>
              <w:widowControl/>
              <w:spacing w:beforeAutospacing="0" w:afterAutospacing="0"/>
              <w:jc w:val="center"/>
              <w:rPr>
                <w:rFonts w:ascii="宋体" w:hAnsi="宋体" w:eastAsia="宋体" w:cs="宋体"/>
                <w:color w:val="000000"/>
                <w:szCs w:val="24"/>
              </w:rPr>
            </w:pPr>
            <w:r>
              <w:rPr>
                <w:rFonts w:hint="eastAsia" w:ascii="宋体" w:hAnsi="宋体" w:eastAsia="宋体" w:cs="宋体"/>
                <w:color w:val="000000"/>
                <w:szCs w:val="24"/>
              </w:rPr>
              <w:t>上午</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62E4215">
            <w:pPr>
              <w:rPr>
                <w:rFonts w:ascii="宋体" w:hAnsi="宋体" w:eastAsia="宋体"/>
                <w:sz w:val="21"/>
                <w:szCs w:val="21"/>
              </w:rPr>
            </w:pPr>
            <w:r>
              <w:rPr>
                <w:rFonts w:hint="eastAsia" w:ascii="宋体" w:hAnsi="宋体" w:eastAsia="宋体"/>
                <w:sz w:val="21"/>
                <w:szCs w:val="21"/>
              </w:rPr>
              <w:t>汇报展示。</w:t>
            </w:r>
          </w:p>
        </w:tc>
      </w:tr>
    </w:tbl>
    <w:p w14:paraId="2B636578">
      <w:pPr>
        <w:rPr>
          <w:rFonts w:ascii="Times New Roman" w:hAnsi="Times New Roman" w:eastAsia="Times New Roman"/>
        </w:rPr>
      </w:pPr>
    </w:p>
    <w:p w14:paraId="345AA6C7">
      <w:pPr>
        <w:pStyle w:val="6"/>
        <w:rPr>
          <w:rFonts w:ascii="Times New Roman" w:hAnsi="Times New Roman" w:eastAsia="宋体" w:cs="Times New Roman"/>
          <w:sz w:val="24"/>
          <w:szCs w:val="24"/>
        </w:rPr>
      </w:pPr>
      <w:r>
        <w:rPr>
          <w:rFonts w:ascii="Times New Roman" w:hAnsi="Times New Roman" w:eastAsia="宋体" w:cs="Times New Roman"/>
          <w:sz w:val="24"/>
          <w:szCs w:val="24"/>
        </w:rPr>
        <w:t>Arrange time before departure to prepare the internship and practice plan.</w:t>
      </w:r>
    </w:p>
    <w:tbl>
      <w:tblPr>
        <w:tblStyle w:val="13"/>
        <w:tblW w:w="0" w:type="auto"/>
        <w:jc w:val="center"/>
        <w:tblInd w:w="0" w:type="dxa"/>
        <w:tblLayout w:type="fixed"/>
        <w:tblCellMar>
          <w:top w:w="15" w:type="dxa"/>
          <w:left w:w="15" w:type="dxa"/>
          <w:bottom w:w="15" w:type="dxa"/>
          <w:right w:w="15" w:type="dxa"/>
        </w:tblCellMar>
      </w:tblPr>
      <w:tblGrid>
        <w:gridCol w:w="839"/>
        <w:gridCol w:w="903"/>
        <w:gridCol w:w="5728"/>
      </w:tblGrid>
      <w:tr w14:paraId="15DAF86F">
        <w:tblPrEx>
          <w:tblLayout w:type="fixed"/>
        </w:tblPrEx>
        <w:trPr>
          <w:trHeight w:val="341" w:hRule="atLeast"/>
          <w:jc w:val="center"/>
        </w:trPr>
        <w:tc>
          <w:tcPr>
            <w:tcW w:w="839"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F5B8F77">
            <w:pPr>
              <w:pStyle w:val="9"/>
              <w:widowControl/>
              <w:spacing w:beforeAutospacing="0" w:afterAutospacing="0"/>
              <w:jc w:val="center"/>
              <w:rPr>
                <w:rFonts w:ascii="宋体" w:hAnsi="宋体" w:eastAsia="宋体"/>
              </w:rPr>
            </w:pPr>
            <w:r>
              <w:rPr>
                <w:rFonts w:ascii="Times New Roman" w:hAnsi="Times New Roman" w:eastAsia="Times New Roman"/>
                <w:b/>
                <w:sz w:val="16"/>
              </w:rPr>
              <w:t>Date</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AAA4452">
            <w:pPr>
              <w:pStyle w:val="9"/>
              <w:widowControl/>
              <w:spacing w:beforeAutospacing="0" w:afterAutospacing="0"/>
              <w:jc w:val="center"/>
              <w:rPr>
                <w:rFonts w:ascii="宋体" w:hAnsi="宋体" w:eastAsia="宋体"/>
              </w:rPr>
            </w:pPr>
            <w:r>
              <w:rPr>
                <w:rFonts w:ascii="Times New Roman" w:hAnsi="Times New Roman" w:eastAsia="Times New Roman"/>
                <w:b/>
                <w:sz w:val="16"/>
              </w:rPr>
              <w:t>Time</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14363DF">
            <w:pPr>
              <w:pStyle w:val="9"/>
              <w:widowControl/>
              <w:spacing w:beforeAutospacing="0" w:afterAutospacing="0"/>
              <w:jc w:val="center"/>
              <w:rPr>
                <w:rFonts w:ascii="宋体" w:hAnsi="宋体" w:eastAsia="宋体"/>
              </w:rPr>
            </w:pPr>
            <w:r>
              <w:rPr>
                <w:rFonts w:ascii="Times New Roman" w:hAnsi="Times New Roman" w:eastAsia="Times New Roman"/>
                <w:b/>
                <w:sz w:val="16"/>
              </w:rPr>
              <w:t>Content</w:t>
            </w:r>
          </w:p>
        </w:tc>
      </w:tr>
      <w:tr w14:paraId="349DBD27">
        <w:tblPrEx>
          <w:tblLayout w:type="fixed"/>
        </w:tblPrEx>
        <w:trPr>
          <w:trHeight w:val="799" w:hRule="atLeast"/>
          <w:jc w:val="center"/>
        </w:trPr>
        <w:tc>
          <w:tcPr>
            <w:tcW w:w="839"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34E1E54">
            <w:pPr>
              <w:pStyle w:val="9"/>
              <w:widowControl/>
              <w:spacing w:beforeAutospacing="0" w:afterAutospacing="0"/>
              <w:jc w:val="center"/>
              <w:rPr>
                <w:rFonts w:ascii="宋体" w:hAnsi="宋体" w:eastAsia="宋体"/>
              </w:rPr>
            </w:pPr>
            <w:r>
              <w:rPr>
                <w:rFonts w:ascii="Times New Roman" w:hAnsi="Times New Roman" w:eastAsia="Times New Roman"/>
                <w:b w:val="0"/>
                <w:sz w:val="16"/>
              </w:rPr>
              <w:t>7/9 Thu.</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DDAB31F">
            <w:pPr>
              <w:pStyle w:val="9"/>
              <w:widowControl/>
              <w:spacing w:beforeAutospacing="0" w:afterAutospacing="0"/>
              <w:jc w:val="center"/>
              <w:rPr>
                <w:rFonts w:ascii="宋体" w:hAnsi="宋体" w:eastAsia="宋体"/>
              </w:rPr>
            </w:pPr>
            <w:r>
              <w:rPr>
                <w:rFonts w:ascii="Times New Roman" w:hAnsi="Times New Roman" w:eastAsia="Times New Roman"/>
                <w:b w:val="0"/>
                <w:sz w:val="16"/>
              </w:rPr>
              <w:t>AM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9B50C5D">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9:00 a.m. Gather and depart from Wuhan University by bus. Arrive at the ancient town and follow the instructors for a visit to understand the overall situation of the town and the history and culture of the ancient street.</w:t>
            </w:r>
          </w:p>
        </w:tc>
      </w:tr>
      <w:tr w14:paraId="48787F98">
        <w:tblPrEx>
          <w:tblLayout w:type="fixed"/>
        </w:tblPrEx>
        <w:trPr>
          <w:trHeight w:val="784"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385511D">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38F4183">
            <w:pPr>
              <w:pStyle w:val="9"/>
              <w:widowControl/>
              <w:spacing w:beforeAutospacing="0" w:afterAutospacing="0"/>
              <w:jc w:val="center"/>
              <w:rPr>
                <w:rFonts w:ascii="宋体" w:hAnsi="宋体" w:eastAsia="宋体"/>
              </w:rPr>
            </w:pPr>
            <w:r>
              <w:rPr>
                <w:rFonts w:ascii="Times New Roman" w:hAnsi="Times New Roman" w:eastAsia="Times New Roman"/>
                <w:b w:val="0"/>
                <w:sz w:val="16"/>
              </w:rPr>
              <w:t>PM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E294058">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Visit the China Qingzhuan Tea Museum, photograph and record distinctive content, communicate with staff members, and use UAVs to capture materials on the ancient town street.</w:t>
            </w:r>
          </w:p>
        </w:tc>
      </w:tr>
      <w:tr w14:paraId="577870C9">
        <w:tblPrEx>
          <w:tblLayout w:type="fixed"/>
        </w:tblPrEx>
        <w:trPr>
          <w:trHeight w:val="662"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7FCF270">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336A87A">
            <w:pPr>
              <w:pStyle w:val="9"/>
              <w:widowControl/>
              <w:spacing w:beforeAutospacing="0" w:afterAutospacing="0"/>
              <w:jc w:val="center"/>
              <w:rPr>
                <w:rFonts w:ascii="宋体" w:hAnsi="宋体" w:eastAsia="宋体"/>
              </w:rPr>
            </w:pPr>
            <w:r>
              <w:rPr>
                <w:rFonts w:ascii="Times New Roman" w:hAnsi="Times New Roman" w:eastAsia="Times New Roman"/>
                <w:b w:val="0"/>
                <w:sz w:val="16"/>
              </w:rPr>
              <w:t>Eve.</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CC1BC31">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Organize materials, improve the research content according to local conditions, adjust task arrangements, and collect night-scene materials.</w:t>
            </w:r>
          </w:p>
        </w:tc>
      </w:tr>
      <w:tr w14:paraId="402ECDC3">
        <w:tblPrEx>
          <w:tblLayout w:type="fixed"/>
        </w:tblPrEx>
        <w:trPr>
          <w:trHeight w:val="48" w:hRule="atLeast"/>
          <w:jc w:val="center"/>
        </w:trPr>
        <w:tc>
          <w:tcPr>
            <w:tcW w:w="839"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4BBF7DC">
            <w:pPr>
              <w:pStyle w:val="9"/>
              <w:widowControl/>
              <w:spacing w:beforeAutospacing="0" w:afterAutospacing="0"/>
              <w:jc w:val="center"/>
              <w:rPr>
                <w:rFonts w:ascii="宋体" w:hAnsi="宋体" w:eastAsia="宋体"/>
              </w:rPr>
            </w:pPr>
            <w:r>
              <w:rPr>
                <w:rFonts w:ascii="Times New Roman" w:hAnsi="Times New Roman" w:eastAsia="Times New Roman"/>
                <w:b w:val="0"/>
                <w:sz w:val="16"/>
              </w:rPr>
              <w:t>7/10 Fri.</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C1C492A">
            <w:pPr>
              <w:pStyle w:val="9"/>
              <w:widowControl/>
              <w:spacing w:beforeAutospacing="0" w:afterAutospacing="0"/>
              <w:jc w:val="center"/>
              <w:rPr>
                <w:rFonts w:ascii="宋体" w:hAnsi="宋体" w:eastAsia="宋体"/>
              </w:rPr>
            </w:pPr>
            <w:r>
              <w:rPr>
                <w:rFonts w:ascii="Times New Roman" w:hAnsi="Times New Roman" w:eastAsia="Times New Roman"/>
                <w:b w:val="0"/>
                <w:sz w:val="16"/>
              </w:rPr>
              <w:t>AM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E5E645B">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Go to Zhaoliqiao Tea Factory to visit the production process, collect filming materials, and interview staff members. Then go to Dongzhuang Tea Factory to visit the production process and conduct enterprise research.</w:t>
            </w:r>
          </w:p>
        </w:tc>
      </w:tr>
      <w:tr w14:paraId="4CA53F33">
        <w:tblPrEx>
          <w:tblLayout w:type="fixed"/>
        </w:tblPrEx>
        <w:trPr>
          <w:trHeight w:val="341"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3DD3E0B">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528252A">
            <w:pPr>
              <w:pStyle w:val="9"/>
              <w:widowControl/>
              <w:spacing w:beforeAutospacing="0" w:afterAutospacing="0"/>
              <w:jc w:val="center"/>
              <w:rPr>
                <w:rFonts w:ascii="宋体" w:hAnsi="宋体" w:eastAsia="宋体"/>
              </w:rPr>
            </w:pPr>
            <w:r>
              <w:rPr>
                <w:rFonts w:ascii="Times New Roman" w:hAnsi="Times New Roman" w:eastAsia="Times New Roman"/>
                <w:b w:val="0"/>
                <w:sz w:val="16"/>
              </w:rPr>
              <w:t>PM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9C4F733">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Go to the tea garden to collect filming materials, identify sampling locations, and complete the first round of water quality, soil, and air sampling in the tea garden.</w:t>
            </w:r>
          </w:p>
        </w:tc>
      </w:tr>
      <w:tr w14:paraId="0B161489">
        <w:tblPrEx>
          <w:tblLayout w:type="fixed"/>
        </w:tblPrEx>
        <w:trPr>
          <w:trHeight w:val="341"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47C26A9B">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311C144">
            <w:pPr>
              <w:pStyle w:val="9"/>
              <w:widowControl/>
              <w:spacing w:beforeAutospacing="0" w:afterAutospacing="0"/>
              <w:jc w:val="center"/>
              <w:rPr>
                <w:rFonts w:ascii="宋体" w:hAnsi="宋体" w:eastAsia="宋体"/>
              </w:rPr>
            </w:pPr>
            <w:r>
              <w:rPr>
                <w:rFonts w:ascii="Times New Roman" w:hAnsi="Times New Roman" w:eastAsia="Times New Roman"/>
                <w:b w:val="0"/>
                <w:sz w:val="16"/>
              </w:rPr>
              <w:t>Eve.</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97F7FB1">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Summarize and organize the day’s research results and work on video production.</w:t>
            </w:r>
          </w:p>
        </w:tc>
      </w:tr>
      <w:tr w14:paraId="19821F71">
        <w:tblPrEx>
          <w:tblLayout w:type="fixed"/>
        </w:tblPrEx>
        <w:trPr>
          <w:trHeight w:val="798" w:hRule="atLeast"/>
          <w:jc w:val="center"/>
        </w:trPr>
        <w:tc>
          <w:tcPr>
            <w:tcW w:w="839"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3FE428B">
            <w:pPr>
              <w:pStyle w:val="9"/>
              <w:widowControl/>
              <w:spacing w:beforeAutospacing="0" w:afterAutospacing="0"/>
              <w:jc w:val="center"/>
              <w:rPr>
                <w:rFonts w:ascii="宋体" w:hAnsi="宋体" w:eastAsia="宋体"/>
              </w:rPr>
            </w:pPr>
            <w:r>
              <w:rPr>
                <w:rFonts w:ascii="Times New Roman" w:hAnsi="Times New Roman" w:eastAsia="Times New Roman"/>
                <w:b w:val="0"/>
                <w:sz w:val="16"/>
              </w:rPr>
              <w:t>7/11 Sat.</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FD51379">
            <w:pPr>
              <w:pStyle w:val="9"/>
              <w:widowControl/>
              <w:spacing w:beforeAutospacing="0" w:afterAutospacing="0"/>
              <w:jc w:val="center"/>
              <w:rPr>
                <w:rFonts w:ascii="宋体" w:hAnsi="宋体" w:eastAsia="宋体"/>
              </w:rPr>
            </w:pPr>
            <w:r>
              <w:rPr>
                <w:rFonts w:ascii="Times New Roman" w:hAnsi="Times New Roman" w:eastAsia="Times New Roman"/>
                <w:b w:val="0"/>
                <w:sz w:val="16"/>
              </w:rPr>
              <w:t>AM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55817CB">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Conduct service practice in groups, including visits to the ancient town streets, investigation of tea products and intangible cultural heritage, and conversations with merchants to understand tea product sales, existing problems, and suggestions for new products.</w:t>
            </w:r>
          </w:p>
        </w:tc>
      </w:tr>
      <w:tr w14:paraId="575D0B94">
        <w:tblPrEx>
          <w:tblLayout w:type="fixed"/>
        </w:tblPrEx>
        <w:trPr>
          <w:trHeight w:val="662"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5794900">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5260DCC">
            <w:pPr>
              <w:pStyle w:val="9"/>
              <w:widowControl/>
              <w:spacing w:beforeAutospacing="0" w:afterAutospacing="0"/>
              <w:jc w:val="center"/>
              <w:rPr>
                <w:rFonts w:ascii="宋体" w:hAnsi="宋体" w:eastAsia="宋体"/>
              </w:rPr>
            </w:pPr>
            <w:r>
              <w:rPr>
                <w:rFonts w:ascii="Times New Roman" w:hAnsi="Times New Roman" w:eastAsia="Times New Roman"/>
                <w:b w:val="0"/>
                <w:sz w:val="16"/>
              </w:rPr>
              <w:t>PM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1C3805E">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Conduct service practice in groups.</w:t>
            </w:r>
          </w:p>
        </w:tc>
      </w:tr>
      <w:tr w14:paraId="721B9932">
        <w:tblPrEx>
          <w:tblLayout w:type="fixed"/>
        </w:tblPrEx>
        <w:trPr>
          <w:trHeight w:val="341"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B9ABE45">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1A8CF19">
            <w:pPr>
              <w:pStyle w:val="9"/>
              <w:widowControl/>
              <w:spacing w:beforeAutospacing="0" w:afterAutospacing="0"/>
              <w:jc w:val="center"/>
              <w:rPr>
                <w:rFonts w:ascii="宋体" w:hAnsi="宋体" w:eastAsia="宋体"/>
              </w:rPr>
            </w:pPr>
            <w:r>
              <w:rPr>
                <w:rFonts w:ascii="Times New Roman" w:hAnsi="Times New Roman" w:eastAsia="Times New Roman"/>
                <w:b w:val="0"/>
                <w:sz w:val="16"/>
              </w:rPr>
              <w:t>Eve.</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133188C">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Summarize and organize research results and work on video production.</w:t>
            </w:r>
          </w:p>
        </w:tc>
      </w:tr>
      <w:tr w14:paraId="29E2F684">
        <w:tblPrEx>
          <w:tblLayout w:type="fixed"/>
        </w:tblPrEx>
        <w:trPr>
          <w:trHeight w:val="437" w:hRule="atLeast"/>
          <w:jc w:val="center"/>
        </w:trPr>
        <w:tc>
          <w:tcPr>
            <w:tcW w:w="839"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4903CF4">
            <w:pPr>
              <w:pStyle w:val="9"/>
              <w:widowControl/>
              <w:spacing w:beforeAutospacing="0" w:afterAutospacing="0"/>
              <w:jc w:val="center"/>
              <w:rPr>
                <w:rFonts w:ascii="宋体" w:hAnsi="宋体" w:eastAsia="宋体"/>
              </w:rPr>
            </w:pPr>
            <w:r>
              <w:rPr>
                <w:rFonts w:ascii="Times New Roman" w:hAnsi="Times New Roman" w:eastAsia="Times New Roman"/>
                <w:b w:val="0"/>
                <w:sz w:val="16"/>
              </w:rPr>
              <w:t>7/12 Sun.</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72C85E90">
            <w:pPr>
              <w:pStyle w:val="9"/>
              <w:widowControl/>
              <w:spacing w:beforeAutospacing="0" w:afterAutospacing="0"/>
              <w:jc w:val="center"/>
              <w:rPr>
                <w:rFonts w:ascii="宋体" w:hAnsi="宋体" w:eastAsia="宋体"/>
              </w:rPr>
            </w:pPr>
            <w:r>
              <w:rPr>
                <w:rFonts w:ascii="Times New Roman" w:hAnsi="Times New Roman" w:eastAsia="Times New Roman"/>
                <w:b w:val="0"/>
                <w:sz w:val="16"/>
              </w:rPr>
              <w:t>AM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198A282A">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Conduct service practice in groups.</w:t>
            </w:r>
          </w:p>
        </w:tc>
      </w:tr>
      <w:tr w14:paraId="6F077B98">
        <w:tblPrEx>
          <w:tblLayout w:type="fixed"/>
        </w:tblPrEx>
        <w:trPr>
          <w:trHeight w:val="756"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2602EEC">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9953E46">
            <w:pPr>
              <w:pStyle w:val="9"/>
              <w:widowControl/>
              <w:spacing w:beforeAutospacing="0" w:afterAutospacing="0"/>
              <w:jc w:val="center"/>
              <w:rPr>
                <w:rFonts w:ascii="宋体" w:hAnsi="宋体" w:eastAsia="宋体"/>
              </w:rPr>
            </w:pPr>
            <w:r>
              <w:rPr>
                <w:rFonts w:ascii="Times New Roman" w:hAnsi="Times New Roman" w:eastAsia="Times New Roman"/>
                <w:b w:val="0"/>
                <w:sz w:val="16"/>
              </w:rPr>
              <w:t>PM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A45400F">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Conduct service practice in groups.</w:t>
            </w:r>
          </w:p>
        </w:tc>
      </w:tr>
      <w:tr w14:paraId="2D4E31B0">
        <w:tblPrEx>
          <w:tblLayout w:type="fixed"/>
        </w:tblPrEx>
        <w:trPr>
          <w:trHeight w:val="341"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E958043">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AA32E6D">
            <w:pPr>
              <w:pStyle w:val="9"/>
              <w:widowControl/>
              <w:spacing w:beforeAutospacing="0" w:afterAutospacing="0"/>
              <w:jc w:val="center"/>
              <w:rPr>
                <w:rFonts w:ascii="宋体" w:hAnsi="宋体" w:eastAsia="宋体"/>
              </w:rPr>
            </w:pPr>
            <w:r>
              <w:rPr>
                <w:rFonts w:ascii="Times New Roman" w:hAnsi="Times New Roman" w:eastAsia="Times New Roman"/>
                <w:b w:val="0"/>
                <w:sz w:val="16"/>
              </w:rPr>
              <w:t>Eve.</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5F84CCB">
            <w:pPr>
              <w:pStyle w:val="9"/>
              <w:widowControl/>
              <w:spacing w:beforeAutospacing="0" w:afterAutospacing="0"/>
              <w:rPr>
                <w:rFonts w:ascii="宋体" w:hAnsi="宋体" w:eastAsia="宋体"/>
                <w:sz w:val="21"/>
                <w:szCs w:val="21"/>
              </w:rPr>
            </w:pPr>
            <w:r>
              <w:rPr>
                <w:rFonts w:ascii="Times New Roman" w:hAnsi="Times New Roman" w:eastAsia="Times New Roman"/>
                <w:b w:val="0"/>
                <w:sz w:val="16"/>
              </w:rPr>
              <w:t>Organize research outcomes, complete the proposal, and basically complete the video.</w:t>
            </w:r>
          </w:p>
        </w:tc>
      </w:tr>
      <w:tr w14:paraId="4A89C8BD">
        <w:tblPrEx>
          <w:tblLayout w:type="fixed"/>
        </w:tblPrEx>
        <w:trPr>
          <w:trHeight w:val="341" w:hRule="atLeast"/>
          <w:jc w:val="center"/>
        </w:trPr>
        <w:tc>
          <w:tcPr>
            <w:tcW w:w="839" w:type="dxa"/>
            <w:vMerge w:val="restart"/>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DF5C9D6">
            <w:pPr>
              <w:pStyle w:val="9"/>
              <w:widowControl/>
              <w:spacing w:beforeAutospacing="0" w:afterAutospacing="0"/>
              <w:jc w:val="center"/>
              <w:rPr>
                <w:rFonts w:ascii="宋体" w:hAnsi="宋体" w:eastAsia="宋体"/>
              </w:rPr>
            </w:pPr>
            <w:r>
              <w:rPr>
                <w:rFonts w:ascii="Times New Roman" w:hAnsi="Times New Roman" w:eastAsia="Times New Roman"/>
                <w:b w:val="0"/>
                <w:sz w:val="16"/>
              </w:rPr>
              <w:t>7/13 Mon.</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857DBB6">
            <w:pPr>
              <w:pStyle w:val="9"/>
              <w:widowControl/>
              <w:spacing w:beforeAutospacing="0" w:afterAutospacing="0"/>
              <w:jc w:val="center"/>
              <w:rPr>
                <w:rFonts w:ascii="宋体" w:hAnsi="宋体" w:eastAsia="宋体"/>
              </w:rPr>
            </w:pPr>
            <w:r>
              <w:rPr>
                <w:rFonts w:ascii="Times New Roman" w:hAnsi="Times New Roman" w:eastAsia="Times New Roman"/>
                <w:b w:val="0"/>
                <w:sz w:val="16"/>
              </w:rPr>
              <w:t>AM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F28DB72">
            <w:pPr>
              <w:rPr>
                <w:rFonts w:ascii="宋体" w:hAnsi="宋体" w:eastAsia="宋体"/>
                <w:sz w:val="21"/>
                <w:szCs w:val="21"/>
              </w:rPr>
            </w:pPr>
            <w:r>
              <w:rPr>
                <w:rFonts w:ascii="Times New Roman" w:hAnsi="Times New Roman" w:eastAsia="Times New Roman"/>
                <w:b w:val="0"/>
                <w:sz w:val="16"/>
              </w:rPr>
              <w:t>Return to Wuhan.</w:t>
            </w:r>
          </w:p>
        </w:tc>
      </w:tr>
      <w:tr w14:paraId="4BD8D1E8">
        <w:tblPrEx>
          <w:tblLayout w:type="fixed"/>
        </w:tblPrEx>
        <w:trPr>
          <w:trHeight w:val="341"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B06B816">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543B343F">
            <w:pPr>
              <w:pStyle w:val="9"/>
              <w:widowControl/>
              <w:spacing w:beforeAutospacing="0" w:afterAutospacing="0"/>
              <w:jc w:val="center"/>
              <w:rPr>
                <w:rFonts w:ascii="宋体" w:hAnsi="宋体" w:eastAsia="宋体"/>
              </w:rPr>
            </w:pPr>
            <w:r>
              <w:rPr>
                <w:rFonts w:ascii="Times New Roman" w:hAnsi="Times New Roman" w:eastAsia="Times New Roman"/>
                <w:b w:val="0"/>
                <w:sz w:val="16"/>
              </w:rPr>
              <w:t>PM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382A5B9F">
            <w:pPr>
              <w:rPr>
                <w:rFonts w:ascii="宋体" w:hAnsi="宋体" w:eastAsia="宋体"/>
                <w:sz w:val="21"/>
                <w:szCs w:val="21"/>
              </w:rPr>
            </w:pPr>
            <w:r>
              <w:rPr>
                <w:rFonts w:ascii="Times New Roman" w:hAnsi="Times New Roman" w:eastAsia="Times New Roman"/>
                <w:b w:val="0"/>
                <w:sz w:val="16"/>
              </w:rPr>
              <w:t>Further improve and prepare the final outcomes.</w:t>
            </w:r>
          </w:p>
        </w:tc>
      </w:tr>
      <w:tr w14:paraId="790744B4">
        <w:tblPrEx>
          <w:tblLayout w:type="fixed"/>
        </w:tblPrEx>
        <w:trPr>
          <w:trHeight w:val="361" w:hRule="atLeast"/>
          <w:jc w:val="center"/>
        </w:trPr>
        <w:tc>
          <w:tcPr>
            <w:tcW w:w="839" w:type="dxa"/>
            <w:vMerge w:val="continue"/>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B832C58">
            <w:pPr>
              <w:rPr>
                <w:rFonts w:ascii="宋体" w:hAnsi="宋体" w:eastAsia="宋体"/>
              </w:rPr>
            </w:pP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5BE9C0F">
            <w:pPr>
              <w:pStyle w:val="9"/>
              <w:widowControl/>
              <w:spacing w:beforeAutospacing="0" w:afterAutospacing="0"/>
              <w:jc w:val="center"/>
              <w:rPr>
                <w:rFonts w:ascii="宋体" w:hAnsi="宋体" w:eastAsia="宋体"/>
              </w:rPr>
            </w:pPr>
            <w:r>
              <w:rPr>
                <w:rFonts w:ascii="Times New Roman" w:hAnsi="Times New Roman" w:eastAsia="Times New Roman"/>
                <w:b w:val="0"/>
                <w:sz w:val="16"/>
              </w:rPr>
              <w:t>Eve.</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8AD48D1">
            <w:pPr>
              <w:rPr>
                <w:rFonts w:ascii="宋体" w:hAnsi="宋体" w:eastAsia="宋体"/>
                <w:sz w:val="21"/>
                <w:szCs w:val="21"/>
              </w:rPr>
            </w:pPr>
            <w:r>
              <w:rPr>
                <w:rFonts w:ascii="Times New Roman" w:hAnsi="Times New Roman" w:eastAsia="Times New Roman"/>
                <w:b w:val="0"/>
                <w:sz w:val="16"/>
              </w:rPr>
              <w:t>Further improve the outcomes.</w:t>
            </w:r>
          </w:p>
        </w:tc>
      </w:tr>
      <w:tr w14:paraId="5855179B">
        <w:tblPrEx>
          <w:tblLayout w:type="fixed"/>
        </w:tblPrEx>
        <w:trPr>
          <w:trHeight w:val="361" w:hRule="atLeast"/>
          <w:jc w:val="center"/>
        </w:trPr>
        <w:tc>
          <w:tcPr>
            <w:tcW w:w="839"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241755DF">
            <w:pPr>
              <w:rPr>
                <w:rFonts w:ascii="宋体" w:hAnsi="宋体" w:eastAsia="宋体"/>
              </w:rPr>
            </w:pPr>
            <w:r>
              <w:rPr>
                <w:rFonts w:ascii="Times New Roman" w:hAnsi="Times New Roman" w:eastAsia="Times New Roman"/>
                <w:b w:val="0"/>
                <w:sz w:val="16"/>
              </w:rPr>
              <w:t>7/14 Tue.</w:t>
            </w:r>
          </w:p>
        </w:tc>
        <w:tc>
          <w:tcPr>
            <w:tcW w:w="903"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04E8F0FE">
            <w:pPr>
              <w:pStyle w:val="9"/>
              <w:widowControl/>
              <w:spacing w:beforeAutospacing="0" w:afterAutospacing="0"/>
              <w:jc w:val="center"/>
              <w:rPr>
                <w:rFonts w:ascii="宋体" w:hAnsi="宋体" w:eastAsia="宋体" w:cs="宋体"/>
                <w:color w:val="000000"/>
                <w:szCs w:val="24"/>
              </w:rPr>
            </w:pPr>
            <w:r>
              <w:rPr>
                <w:rFonts w:ascii="Times New Roman" w:hAnsi="Times New Roman" w:eastAsia="Times New Roman"/>
                <w:b w:val="0"/>
                <w:sz w:val="16"/>
              </w:rPr>
              <w:t>AM</w:t>
            </w:r>
          </w:p>
        </w:tc>
        <w:tc>
          <w:tcPr>
            <w:tcW w:w="5728" w:type="dxa"/>
            <w:tcBorders>
              <w:top w:val="single" w:color="auto" w:sz="2" w:space="0"/>
              <w:left w:val="single" w:color="auto" w:sz="2" w:space="0"/>
              <w:bottom w:val="single" w:color="auto" w:sz="2" w:space="0"/>
              <w:right w:val="single" w:color="auto" w:sz="2" w:space="0"/>
            </w:tcBorders>
            <w:shd w:val="clear" w:color="auto" w:fill="auto"/>
            <w:tcMar>
              <w:top w:w="0" w:type="dxa"/>
              <w:left w:w="86" w:type="dxa"/>
              <w:bottom w:w="0" w:type="dxa"/>
              <w:right w:w="86" w:type="dxa"/>
            </w:tcMar>
            <w:vAlign w:val="center"/>
          </w:tcPr>
          <w:p w14:paraId="63B55DD6">
            <w:pPr>
              <w:rPr>
                <w:rFonts w:ascii="宋体" w:hAnsi="宋体" w:eastAsia="宋体"/>
                <w:sz w:val="21"/>
                <w:szCs w:val="21"/>
              </w:rPr>
            </w:pPr>
            <w:r>
              <w:rPr>
                <w:rFonts w:ascii="Times New Roman" w:hAnsi="Times New Roman" w:eastAsia="Times New Roman"/>
                <w:b w:val="0"/>
                <w:sz w:val="16"/>
              </w:rPr>
              <w:t>Presentation and report.</w:t>
            </w:r>
          </w:p>
        </w:tc>
      </w:tr>
    </w:tbl>
    <w:p w14:paraId="3ECF91AF">
      <w:pPr>
        <w:jc w:val="right"/>
        <w:rPr>
          <w:rFonts w:ascii="宋体" w:hAnsi="宋体" w:eastAsia="宋体"/>
          <w:sz w:val="28"/>
          <w:szCs w:val="28"/>
        </w:rPr>
      </w:pPr>
      <w:r>
        <w:rPr>
          <w:rFonts w:hint="eastAsia" w:ascii="宋体" w:hAnsi="宋体" w:eastAsia="宋体"/>
          <w:sz w:val="28"/>
          <w:szCs w:val="28"/>
        </w:rPr>
        <w:t>联系人：张馨予</w:t>
      </w:r>
      <w:r>
        <w:rPr>
          <w:rFonts w:ascii="宋体" w:hAnsi="宋体" w:eastAsia="宋体"/>
          <w:sz w:val="28"/>
          <w:szCs w:val="28"/>
        </w:rPr>
        <w:t>18009598119</w:t>
      </w:r>
    </w:p>
    <w:p w14:paraId="04268C2C">
      <w:pPr>
        <w:jc w:val="right"/>
        <w:rPr>
          <w:rFonts w:hint="eastAsia" w:ascii="宋体" w:hAnsi="宋体" w:eastAsia="宋体"/>
          <w:sz w:val="28"/>
          <w:szCs w:val="28"/>
        </w:rPr>
      </w:pPr>
      <w:r>
        <w:rPr>
          <w:rFonts w:hint="eastAsia" w:ascii="宋体" w:hAnsi="宋体" w:eastAsia="宋体"/>
          <w:sz w:val="28"/>
          <w:szCs w:val="28"/>
        </w:rPr>
        <w:t>苗曦月</w:t>
      </w:r>
      <w:r>
        <w:rPr>
          <w:rFonts w:ascii="宋体" w:hAnsi="宋体" w:eastAsia="宋体"/>
          <w:sz w:val="28"/>
          <w:szCs w:val="28"/>
        </w:rPr>
        <w:t>18062635289</w:t>
      </w:r>
    </w:p>
    <w:p w14:paraId="247C3A6F">
      <w:pPr>
        <w:jc w:val="right"/>
        <w:rPr>
          <w:rFonts w:ascii="宋体" w:hAnsi="宋体" w:eastAsia="宋体"/>
          <w:sz w:val="28"/>
          <w:szCs w:val="28"/>
        </w:rPr>
      </w:pPr>
      <w:r>
        <w:rPr>
          <w:rFonts w:hint="eastAsia" w:ascii="宋体" w:hAnsi="宋体" w:eastAsia="宋体"/>
          <w:sz w:val="28"/>
          <w:szCs w:val="28"/>
        </w:rPr>
        <w:t>邓海燕</w:t>
      </w:r>
      <w:r>
        <w:rPr>
          <w:rFonts w:ascii="宋体" w:hAnsi="宋体" w:eastAsia="宋体"/>
          <w:sz w:val="28"/>
          <w:szCs w:val="28"/>
        </w:rPr>
        <w:t>13107287326</w:t>
      </w:r>
    </w:p>
    <w:p w14:paraId="76359045">
      <w:pPr>
        <w:jc w:val="right"/>
        <w:rPr>
          <w:rFonts w:ascii="Times New Roman" w:hAnsi="Times New Roman" w:eastAsia="Times New Roman"/>
          <w:sz w:val="28"/>
        </w:rPr>
      </w:pPr>
      <w:r>
        <w:rPr>
          <w:rFonts w:hint="eastAsia" w:ascii="宋体" w:hAnsi="宋体" w:eastAsia="宋体"/>
          <w:sz w:val="28"/>
          <w:szCs w:val="28"/>
        </w:rPr>
        <w:t>陈江平 13627272220</w:t>
      </w:r>
    </w:p>
    <w:p w14:paraId="76ACDB2B">
      <w:pPr>
        <w:pStyle w:val="6"/>
        <w:rPr>
          <w:rFonts w:ascii="Times New Roman" w:hAnsi="Times New Roman" w:eastAsia="宋体" w:cs="Times New Roman"/>
          <w:sz w:val="24"/>
          <w:szCs w:val="24"/>
        </w:rPr>
      </w:pPr>
      <w:r>
        <w:rPr>
          <w:rFonts w:ascii="Times New Roman" w:hAnsi="Times New Roman" w:eastAsia="宋体" w:cs="Times New Roman"/>
          <w:sz w:val="24"/>
          <w:szCs w:val="24"/>
        </w:rPr>
        <w:t>Contact: Xinyu Zhang 18009598119</w:t>
      </w:r>
    </w:p>
    <w:p w14:paraId="3E1D879B">
      <w:pPr>
        <w:jc w:val="right"/>
        <w:rPr>
          <w:rFonts w:hint="eastAsia" w:ascii="宋体" w:hAnsi="宋体" w:eastAsia="宋体"/>
          <w:sz w:val="28"/>
          <w:szCs w:val="28"/>
        </w:rPr>
      </w:pPr>
      <w:r>
        <w:rPr>
          <w:rFonts w:ascii="Times New Roman" w:hAnsi="Times New Roman" w:eastAsia="Times New Roman"/>
          <w:sz w:val="28"/>
        </w:rPr>
        <w:t>Xiyue</w:t>
      </w:r>
      <w:r>
        <w:rPr>
          <w:rFonts w:hint="eastAsia"/>
          <w:sz w:val="28"/>
          <w:lang w:eastAsia="zh-CN"/>
        </w:rPr>
        <w:t xml:space="preserve"> </w:t>
      </w:r>
      <w:r>
        <w:rPr>
          <w:rFonts w:ascii="Times New Roman" w:hAnsi="Times New Roman" w:eastAsia="Times New Roman"/>
          <w:sz w:val="28"/>
        </w:rPr>
        <w:t>Miao 18062635289</w:t>
      </w:r>
    </w:p>
    <w:p w14:paraId="0FDDD6DC">
      <w:pPr>
        <w:jc w:val="right"/>
        <w:rPr>
          <w:rFonts w:ascii="宋体" w:hAnsi="宋体" w:eastAsia="宋体"/>
          <w:sz w:val="28"/>
          <w:szCs w:val="28"/>
        </w:rPr>
      </w:pPr>
      <w:r>
        <w:rPr>
          <w:rFonts w:ascii="Times New Roman" w:hAnsi="Times New Roman" w:eastAsia="Times New Roman"/>
          <w:sz w:val="28"/>
        </w:rPr>
        <w:t>Haiyan Deng 13107287326</w:t>
      </w:r>
    </w:p>
    <w:p w14:paraId="1DCEDFF2">
      <w:pPr>
        <w:jc w:val="right"/>
        <w:rPr>
          <w:rFonts w:hint="eastAsia" w:ascii="宋体" w:hAnsi="宋体" w:eastAsia="宋体"/>
          <w:sz w:val="28"/>
          <w:szCs w:val="28"/>
        </w:rPr>
      </w:pPr>
      <w:r>
        <w:rPr>
          <w:rFonts w:ascii="Times New Roman" w:hAnsi="Times New Roman" w:eastAsia="Times New Roman"/>
          <w:sz w:val="28"/>
        </w:rPr>
        <w:t>Jiangping</w:t>
      </w:r>
      <w:r>
        <w:rPr>
          <w:rFonts w:hint="eastAsia"/>
          <w:sz w:val="28"/>
          <w:lang w:eastAsia="zh-CN"/>
        </w:rPr>
        <w:t xml:space="preserve"> </w:t>
      </w:r>
      <w:r>
        <w:rPr>
          <w:rFonts w:ascii="Times New Roman" w:hAnsi="Times New Roman" w:eastAsia="Times New Roman"/>
          <w:sz w:val="28"/>
        </w:rPr>
        <w:t>Chen 13627272220</w:t>
      </w:r>
    </w:p>
    <w:p w14:paraId="5E2A521C">
      <w:pPr>
        <w:jc w:val="right"/>
        <w:rPr>
          <w:rFonts w:hint="eastAsia" w:ascii="宋体" w:hAnsi="宋体" w:eastAsia="宋体"/>
          <w:sz w:val="28"/>
          <w:szCs w:val="28"/>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等线">
    <w:panose1 w:val="02010600030101010101"/>
    <w:charset w:val="86"/>
    <w:family w:val="auto"/>
    <w:pitch w:val="default"/>
    <w:sig w:usb0="00000000" w:usb1="00000000" w:usb2="00000016" w:usb3="00000000" w:csb0="0004000F" w:csb1="00000000"/>
  </w:font>
  <w:font w:name="等线 Light">
    <w:panose1 w:val="02010600030101010101"/>
    <w:charset w:val="86"/>
    <w:family w:val="auto"/>
    <w:pitch w:val="default"/>
    <w:sig w:usb0="00000000" w:usb1="00000000" w:usb2="00000016" w:usb3="00000000" w:csb0="0004000F" w:csb1="00000000"/>
  </w:font>
  <w:font w:name="Segoe UI">
    <w:panose1 w:val="020B0502040204020203"/>
    <w:charset w:val="00"/>
    <w:family w:val="swiss"/>
    <w:pitch w:val="default"/>
    <w:sig w:usb0="00000000" w:usb1="00000000" w:usb2="00000009" w:usb3="00000000" w:csb0="200001FF" w:csb1="00000000"/>
  </w:font>
  <w:font w:name="Tempus Sans ITC">
    <w:panose1 w:val="04020404030D07020202"/>
    <w:charset w:val="00"/>
    <w:family w:val="auto"/>
    <w:pitch w:val="default"/>
    <w:sig w:usb0="00000000" w:usb1="00000000" w:usb2="00000000" w:usb3="00000000" w:csb0="20000001" w:csb1="00000000"/>
  </w:font>
  <w:font w:name="Trebuchet MS">
    <w:panose1 w:val="020B0603020202020204"/>
    <w:charset w:val="00"/>
    <w:family w:val="auto"/>
    <w:pitch w:val="default"/>
    <w:sig w:usb0="00000000" w:usb1="00000000" w:usb2="00000000" w:usb3="00000000" w:csb0="2000009F" w:csb1="00000000"/>
  </w:font>
  <w:font w:name="DengXian">
    <w:panose1 w:val="00000000000000000000"/>
    <w:charset w:val="00"/>
    <w:family w:val="auto"/>
    <w:pitch w:val="default"/>
    <w:sig w:usb0="00000000" w:usb1="00000000" w:usb2="00000000" w:usb3="00000000" w:csb0="00000000" w:csb1="00000000"/>
  </w:font>
  <w:font w:name="DengXian Light">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00000000" w:usb1="00000000"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DejaVu Math TeX Gyre">
    <w:panose1 w:val="02000503000000000000"/>
    <w:charset w:val="00"/>
    <w:family w:val="auto"/>
    <w:pitch w:val="default"/>
    <w:sig w:usb0="00000000" w:usb1="00000000" w:usb2="02000008" w:usb3="00000000" w:csb0="60000193" w:csb1="0DD40000"/>
  </w:font>
  <w:font w:name="文泉驿正黑">
    <w:panose1 w:val="02000603000000000000"/>
    <w:charset w:val="86"/>
    <w:family w:val="auto"/>
    <w:pitch w:val="default"/>
    <w:sig w:usb0="00000000" w:usb1="00000000" w:usb2="00000036" w:usb3="00000000" w:csb0="603E000D" w:csb1="D2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FE0946"/>
    <w:multiLevelType w:val="singleLevel"/>
    <w:tmpl w:val="B7FE0946"/>
    <w:lvl w:ilvl="0" w:tentative="0">
      <w:start w:val="1"/>
      <w:numFmt w:val="chineseCounting"/>
      <w:suff w:val="nothing"/>
      <w:lvlText w:val="%1、"/>
      <w:lvlJc w:val="left"/>
      <w:pPr>
        <w:ind w:left="0" w:leftChars="0" w:firstLine="0" w:firstLineChars="0"/>
      </w:pPr>
      <w:rPr>
        <w:rFonts w:hint="eastAsia"/>
      </w:rPr>
    </w:lvl>
  </w:abstractNum>
  <w:abstractNum w:abstractNumId="1">
    <w:nsid w:val="F7DFC599"/>
    <w:multiLevelType w:val="singleLevel"/>
    <w:tmpl w:val="F7DFC599"/>
    <w:lvl w:ilvl="0" w:tentative="0">
      <w:start w:val="1"/>
      <w:numFmt w:val="chineseCounting"/>
      <w:suff w:val="nothing"/>
      <w:lvlText w:val="%1、"/>
      <w:lvlJc w:val="left"/>
      <w:pPr>
        <w:ind w:left="0" w:leftChars="0" w:firstLine="0" w:firstLineChars="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heme="minorBidi"/>
      <w:kern w:val="2"/>
      <w:sz w:val="24"/>
      <w:szCs w:val="24"/>
      <w:lang w:val="en-US" w:eastAsia="zh-CN" w:bidi="ar-SA"/>
    </w:rPr>
  </w:style>
  <w:style w:type="paragraph" w:styleId="2">
    <w:name w:val="heading 1"/>
    <w:basedOn w:val="1"/>
    <w:next w:val="1"/>
    <w:link w:val="15"/>
    <w:qFormat/>
    <w:uiPriority w:val="9"/>
    <w:pPr>
      <w:keepNext/>
      <w:keepLines/>
      <w:spacing w:before="340" w:after="330" w:line="578" w:lineRule="auto"/>
      <w:outlineLvl w:val="0"/>
    </w:pPr>
    <w:rPr>
      <w:rFonts w:ascii="Times New Roman" w:hAnsi="Times New Roman" w:eastAsia="Times New Roman"/>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unhideWhenUsed/>
    <w:qFormat/>
    <w:uiPriority w:val="9"/>
    <w:pPr>
      <w:keepNext/>
      <w:keepLines/>
      <w:spacing w:before="260" w:after="260" w:line="416" w:lineRule="auto"/>
      <w:outlineLvl w:val="2"/>
    </w:pPr>
    <w:rPr>
      <w:rFonts w:ascii="Times New Roman" w:hAnsi="Times New Roman" w:eastAsia="Times New Roman"/>
      <w:b/>
      <w:bCs/>
      <w:sz w:val="32"/>
      <w:szCs w:val="32"/>
    </w:rPr>
  </w:style>
  <w:style w:type="character" w:default="1" w:styleId="11">
    <w:name w:val="Default Paragraph Font"/>
    <w:unhideWhenUsed/>
    <w:uiPriority w:val="1"/>
  </w:style>
  <w:style w:type="table" w:default="1" w:styleId="13">
    <w:name w:val="Normal Table"/>
    <w:unhideWhenUsed/>
    <w:uiPriority w:val="99"/>
    <w:tblPr>
      <w:tblLayout w:type="fixed"/>
      <w:tblCellMar>
        <w:top w:w="0" w:type="dxa"/>
        <w:left w:w="108" w:type="dxa"/>
        <w:bottom w:w="0" w:type="dxa"/>
        <w:right w:w="108" w:type="dxa"/>
      </w:tblCellMar>
    </w:tblPr>
  </w:style>
  <w:style w:type="paragraph" w:styleId="5">
    <w:name w:val="Document Map"/>
    <w:basedOn w:val="1"/>
    <w:link w:val="17"/>
    <w:unhideWhenUsed/>
    <w:uiPriority w:val="99"/>
    <w:rPr>
      <w:rFonts w:ascii="宋体" w:eastAsia="宋体"/>
    </w:rPr>
  </w:style>
  <w:style w:type="paragraph" w:styleId="6">
    <w:name w:val="Body Text"/>
    <w:unhideWhenUsed/>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7">
    <w:name w:val="footer"/>
    <w:basedOn w:val="1"/>
    <w:link w:val="20"/>
    <w:unhideWhenUsed/>
    <w:uiPriority w:val="99"/>
    <w:pPr>
      <w:tabs>
        <w:tab w:val="center" w:pos="4153"/>
        <w:tab w:val="right" w:pos="8306"/>
      </w:tabs>
      <w:snapToGrid w:val="0"/>
      <w:jc w:val="left"/>
    </w:pPr>
    <w:rPr>
      <w:sz w:val="18"/>
      <w:szCs w:val="18"/>
    </w:rPr>
  </w:style>
  <w:style w:type="paragraph" w:styleId="8">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0"/>
    <w:pPr>
      <w:spacing w:beforeAutospacing="1" w:afterAutospacing="1"/>
      <w:jc w:val="left"/>
    </w:pPr>
    <w:rPr>
      <w:rFonts w:cs="Times New Roman"/>
      <w:kern w:val="0"/>
      <w:szCs w:val="22"/>
    </w:rPr>
  </w:style>
  <w:style w:type="paragraph" w:styleId="10">
    <w:name w:val="Title"/>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2">
    <w:name w:val="Strong"/>
    <w:basedOn w:val="11"/>
    <w:qFormat/>
    <w:uiPriority w:val="22"/>
    <w:rPr>
      <w:b/>
      <w:bCs/>
    </w:rPr>
  </w:style>
  <w:style w:type="table" w:styleId="14">
    <w:name w:val="Table Grid"/>
    <w:basedOn w:val="13"/>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5">
    <w:name w:val="标题 1 字符"/>
    <w:basedOn w:val="11"/>
    <w:link w:val="2"/>
    <w:uiPriority w:val="9"/>
    <w:rPr>
      <w:b/>
      <w:bCs/>
      <w:kern w:val="44"/>
      <w:sz w:val="44"/>
      <w:szCs w:val="44"/>
    </w:rPr>
  </w:style>
  <w:style w:type="character" w:customStyle="1" w:styleId="16">
    <w:name w:val="标题 2 字符"/>
    <w:basedOn w:val="11"/>
    <w:link w:val="3"/>
    <w:uiPriority w:val="9"/>
    <w:rPr>
      <w:rFonts w:asciiTheme="majorHAnsi" w:hAnsiTheme="majorHAnsi" w:eastAsiaTheme="majorEastAsia" w:cstheme="majorBidi"/>
      <w:b/>
      <w:bCs/>
      <w:sz w:val="32"/>
      <w:szCs w:val="32"/>
    </w:rPr>
  </w:style>
  <w:style w:type="character" w:customStyle="1" w:styleId="17">
    <w:name w:val="文档结构图 字符"/>
    <w:basedOn w:val="11"/>
    <w:link w:val="5"/>
    <w:semiHidden/>
    <w:uiPriority w:val="99"/>
    <w:rPr>
      <w:rFonts w:ascii="宋体" w:eastAsia="宋体"/>
    </w:rPr>
  </w:style>
  <w:style w:type="paragraph" w:customStyle="1" w:styleId="18">
    <w:name w:val="List Paragraph"/>
    <w:basedOn w:val="1"/>
    <w:qFormat/>
    <w:uiPriority w:val="34"/>
    <w:pPr>
      <w:ind w:firstLine="420" w:firstLineChars="200"/>
    </w:pPr>
  </w:style>
  <w:style w:type="character" w:customStyle="1" w:styleId="19">
    <w:name w:val="页眉 字符"/>
    <w:basedOn w:val="11"/>
    <w:link w:val="8"/>
    <w:uiPriority w:val="99"/>
    <w:rPr>
      <w:sz w:val="18"/>
      <w:szCs w:val="18"/>
    </w:rPr>
  </w:style>
  <w:style w:type="character" w:customStyle="1" w:styleId="20">
    <w:name w:val="页脚 字符"/>
    <w:basedOn w:val="11"/>
    <w:link w:val="7"/>
    <w:uiPriority w:val="99"/>
    <w:rPr>
      <w:sz w:val="18"/>
      <w:szCs w:val="18"/>
    </w:rPr>
  </w:style>
  <w:style w:type="character" w:customStyle="1" w:styleId="21">
    <w:name w:val="标题 3 字符"/>
    <w:basedOn w:val="11"/>
    <w:link w:val="4"/>
    <w:semiHidden/>
    <w:uiPriority w:val="9"/>
    <w:rPr>
      <w:b/>
      <w:bCs/>
      <w:sz w:val="32"/>
      <w:szCs w:val="32"/>
    </w:rPr>
  </w:style>
  <w:style w:type="paragraph" w:customStyle="1" w:styleId="22">
    <w:name w:val="ds-markdown-paragraph"/>
    <w:basedOn w:val="1"/>
    <w:uiPriority w:val="0"/>
    <w:pPr>
      <w:widowControl/>
      <w:spacing w:before="100" w:beforeAutospacing="1" w:after="100" w:afterAutospacing="1"/>
      <w:jc w:val="left"/>
    </w:pPr>
    <w:rPr>
      <w:rFonts w:ascii="Times New Roman" w:hAnsi="Times New Roman" w:eastAsia="Times New Roman" w:cs="宋体"/>
      <w:kern w:val="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1331</Words>
  <Characters>8205</Characters>
  <Lines>14</Lines>
  <Paragraphs>4</Paragraphs>
  <ScaleCrop>false</ScaleCrop>
  <LinksUpToDate>false</LinksUpToDate>
  <CharactersWithSpaces>9462</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2026-07-06T07:00:00Z</dcterms:created>
  <dc:creator>Microsoft Office 用户</dc:creator>
  <cp:lastModifiedBy>iPad</cp:lastModifiedBy>
  <dcterms:modified xsi:type="dcterms:W3CDTF">2026-07-05T22:43:02Z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eyJoZGlkIjoiZjY1YzlmZjc3Yjk5ODhiODVkMDkzYTE5YmVlYjlmZjQiLCJ1c2VySWQiOiIxODIyODM0MjExIn0=</vt:lpwstr>
  </property>
  <property fmtid="{D5CDD505-2E9C-101B-9397-08002B2CF9AE}" pid="3" name="KSOProductBuildVer">
    <vt:lpwstr>2052-26.6.1</vt:lpwstr>
  </property>
  <property fmtid="{D5CDD505-2E9C-101B-9397-08002B2CF9AE}" pid="4" name="ICV">
    <vt:lpwstr>686F26A616074BA5BAF46C127C656CE0_13</vt:lpwstr>
  </property>
</Properties>
</file>