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44"/>
        </w:rPr>
        <w:t xml:space="preserve">三大需求优化总结</w:t>
      </w:r>
    </w:p>
    <w:p>
      <w:pPr>
        <w:jc w:val="center"/>
        <w:spacing w:after="120"/>
      </w:pPr>
      <w:r>
        <w:rPr>
          <w:sz w:val="18"/>
        </w:rPr>
        <w:t xml:space="preserve">适用：新闻驱动策略系统（Trident Agent）· 对应部署包 strategy_package_v12.zip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b/>
          <w:sz w:val="32"/>
        </w:rPr>
        <w:t xml:space="preserve">需求 1：加强 AI 反思能力 ✅</w:t>
      </w:r>
    </w:p>
    <w:p>
      <w:pPr>
        <w:spacing w:after="100"/>
      </w:pPr>
      <w:r>
        <w:rPr>
          <w:b/>
          <w:sz w:val="26"/>
        </w:rPr>
        <w:t xml:space="preserve">1.1 单笔实时反思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机制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持仓结算后自动入队 trade_reflections → 引擎 reflection_worker 每 30s 处理 → LLM 单笔归因（失败→17 类框架 / 成功→10 类框架，走 OpenRouter→MiniMax）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经验沉淀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同类失败原因累计 ≥3 笔 → 自动生成经验写入 review_insights（防单笔噪音）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数据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trade_reflections 表：decision_id / 原因编码 / 名称 / 说明 / 置信度 / 状态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[REFLECT] 处理 N 笔单笔反思 / [REFLECT] 沉淀经验: ...</w:t>
            </w:r>
          </w:p>
        </w:tc>
      </w:tr>
    </w:tbl>
    <w:p/>
    <w:p>
      <w:pPr>
        <w:spacing w:after="100"/>
      </w:pPr>
      <w:r>
        <w:rPr>
          <w:b/>
          <w:sz w:val="26"/>
        </w:rPr>
        <w:t xml:space="preserve">1.2 经验命中验证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机制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建仓时记录本单参考的生效经验 id（ai_decisions.insight_hit_ids）→ 引擎每小时统计每条经验「被参考过的交易」胜率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停用规则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样本 ≥5 且胜率 &lt;40% → 自动停用（只统计真正参考过该经验的交易，比全局胜率更精准）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[REFLECT] 命中验证停用 N 条低效经验</w:t>
            </w:r>
          </w:p>
        </w:tc>
      </w:tr>
    </w:tbl>
    <w:p/>
    <w:p>
      <w:pPr>
        <w:spacing w:after="100"/>
      </w:pPr>
      <w:r>
        <w:rPr>
          <w:b/>
          <w:sz w:val="26"/>
        </w:rPr>
        <w:t xml:space="preserve">1.3 既有基础</w:t>
      </w:r>
    </w:p>
    <w:p>
      <w:pPr>
        <w:spacing w:after="60"/>
      </w:pPr>
      <w:r>
        <w:t xml:space="preserve">• 每日复盘报告：17 类失败 / 10 类成功 LLM 归因 + 占比统计</w:t>
      </w:r>
    </w:p>
    <w:p>
      <w:pPr>
        <w:spacing w:after="60"/>
      </w:pPr>
      <w:r>
        <w:t xml:space="preserve">• 经验规则自动回灌 AI 分析 prompt（[Review Insights]）</w:t>
      </w:r>
    </w:p>
    <w:p>
      <w:pPr>
        <w:spacing w:after="60"/>
      </w:pPr>
      <w:r>
        <w:t xml:space="preserve">• 参考信号实时注入（[Reference Signals]：品种/方向/阶段/强度/入场时机 + 提示词风格总结语）</w:t>
      </w:r>
    </w:p>
    <w:p>
      <w:pPr>
        <w:spacing w:after="100"/>
      </w:pPr>
      <w:r>
        <w:rPr>
          <w:b/>
          <w:sz w:val="26"/>
        </w:rPr>
        <w:t xml:space="preserve">1.4 过程修复</w:t>
      </w:r>
    </w:p>
    <w:p>
      <w:pPr>
        <w:spacing w:after="60"/>
      </w:pPr>
      <w:r>
        <w:t xml:space="preserve">• 成败判定修复：复盘统计改用 quick_sim_trades.verdict（原 ai_decisions.is_correct 历史几乎全是 HOLD），成功/失败归因从 0/0 变为真实数据</w:t>
      </w:r>
    </w:p>
    <w:p>
      <w:pPr>
        <w:spacing w:after="60"/>
      </w:pPr>
      <w:r>
        <w:t xml:space="preserve">• 成功归因持久化：save_report 补存 successes，刷新后不丢失</w:t>
      </w:r>
    </w:p>
    <w:p>
      <w:pPr>
        <w:spacing w:after="100"/>
      </w:pPr>
      <w:r>
        <w:rPr>
          <w:b/>
          <w:sz w:val="32"/>
        </w:rPr>
        <w:t xml:space="preserve">需求 2：优化买入/卖出策略（卖出逻辑 + 新闻即时性）✅</w:t>
      </w:r>
    </w:p>
    <w:p>
      <w:pPr>
        <w:spacing w:after="100"/>
      </w:pPr>
      <w:r>
        <w:rPr>
          <w:b/>
          <w:sz w:val="26"/>
        </w:rPr>
        <w:t xml:space="preserve">2.1 新闻时效门槛（后台可调）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机制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新闻发布时间距今超过阈值 → BUY/SELL 信号不再建仓（过期信号仍分析入库统计，不交易）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默认值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2700 秒（45 分钟），后台可调（30~86400 秒），引擎 ≤5s 生效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入口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模拟盘页面「新闻时效 [2700] 秒」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[AI] 信号过期，跳过建仓: news=#xx 已 120 分钟</w:t>
            </w:r>
          </w:p>
        </w:tc>
      </w:tr>
    </w:tbl>
    <w:p/>
    <w:p>
      <w:pPr>
        <w:spacing w:after="100"/>
      </w:pPr>
      <w:r>
        <w:rPr>
          <w:b/>
          <w:sz w:val="26"/>
        </w:rPr>
        <w:t xml:space="preserve">2.2 买卖即时性 prompt 规则</w:t>
      </w:r>
    </w:p>
    <w:p>
      <w:pPr>
        <w:spacing w:after="60"/>
      </w:pPr>
      <w:r>
        <w:t xml:space="preserve">• 利空 + 价格未反应 → 果断 SELL（early 吃主跌段）</w:t>
      </w:r>
    </w:p>
    <w:p>
      <w:pPr>
        <w:spacing w:after="60"/>
      </w:pPr>
      <w:r>
        <w:t xml:space="preserve">• 利空 + 价格已大跌 → 不追空（HOLD 等反弹）</w:t>
      </w:r>
    </w:p>
    <w:p>
      <w:pPr>
        <w:spacing w:after="60"/>
      </w:pPr>
      <w:r>
        <w:t xml:space="preserve">• 利多 + 价格未反应 → 果断 BUY；已大涨 → 不追多（利好出尽警惕）</w:t>
      </w:r>
    </w:p>
    <w:p>
      <w:pPr>
        <w:spacing w:after="60"/>
      </w:pPr>
      <w:r>
        <w:t xml:space="preserve">• 恐慌/流动性危机类利空 → SELL 置信上调，分钟级窗口</w:t>
      </w:r>
    </w:p>
    <w:p>
      <w:pPr>
        <w:spacing w:after="100"/>
      </w:pPr>
      <w:r>
        <w:rPr>
          <w:b/>
          <w:sz w:val="26"/>
        </w:rPr>
        <w:t xml:space="preserve">2.3 买卖方向不对称门槛（后台可调）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机制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多证据闸门方向判定参数化：BUY 需 ≥0.4（做多胜率偏低→加严）、SELL 需 ≤-0.3（更倾向做空）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入口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模拟盘页面「买/卖门槛 [0.4] / [0.3]」，引擎 5s 生效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依据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做多胜率 53.4% &lt; 做空 56.3%</w:t>
            </w:r>
          </w:p>
        </w:tc>
      </w:tr>
    </w:tbl>
    <w:p/>
    <w:p>
      <w:pPr>
        <w:spacing w:after="100"/>
      </w:pPr>
      <w:r>
        <w:rPr>
          <w:b/>
          <w:sz w:val="26"/>
        </w:rPr>
        <w:t xml:space="preserve">2.4 新闻新鲜度分级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新闻年龄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权重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0~15 分钟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×1.0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15~30 分钟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×0.85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30~45 分钟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×0.7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&gt;45 分钟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×0.5（硬门槛已拦交易）</w:t>
            </w:r>
          </w:p>
        </w:tc>
      </w:tr>
    </w:tbl>
    <w:p/>
    <w:p>
      <w:pPr>
        <w:spacing w:after="60"/>
      </w:pPr>
      <w:r>
        <w:t xml:space="preserve">• LLM 打分后按新鲜度加权 score，与硬门槛配合（门槛管禁止、分级管衰减）</w:t>
      </w:r>
    </w:p>
    <w:p>
      <w:pPr>
        <w:spacing w:after="100"/>
      </w:pPr>
      <w:r>
        <w:rPr>
          <w:b/>
          <w:sz w:val="26"/>
        </w:rPr>
        <w:t xml:space="preserve">2.5 品种×方向组合胜率注入</w:t>
      </w:r>
    </w:p>
    <w:p>
      <w:pPr>
        <w:spacing w:after="60"/>
      </w:pPr>
      <w:r>
        <w:t xml:space="preserve">• 参考信号新增「品种×方向」组（如 BTC×做多、XAU×做空），注入 AI prompt + 页面展示</w:t>
      </w:r>
    </w:p>
    <w:p>
      <w:pPr>
        <w:spacing w:after="60"/>
      </w:pPr>
      <w:r>
        <w:t xml:space="preserve">• 带总结语：BTC×做多 6笔胜率67%，该品种×方向组合历史质量高，可提高置信度</w:t>
      </w:r>
    </w:p>
    <w:p>
      <w:pPr>
        <w:spacing w:after="100"/>
      </w:pPr>
      <w:r>
        <w:rPr>
          <w:b/>
          <w:sz w:val="32"/>
        </w:rPr>
        <w:t xml:space="preserve">需求 3：优化止损和出场逻辑 ✅（止损保持原有，完善止盈）</w:t>
      </w:r>
    </w:p>
    <w:p>
      <w:pPr>
        <w:spacing w:after="120"/>
      </w:pPr>
      <w:r>
        <w:t xml:space="preserve">决策：按用户要求，止损保持原有（到期结算 + 固定移动止损 trailing_callback_rate 不变）；重点完善止盈（分级部分止盈）。</w:t>
      </w:r>
    </w:p>
    <w:p>
      <w:pPr>
        <w:spacing w:after="100"/>
      </w:pPr>
      <w:r>
        <w:rPr>
          <w:b/>
          <w:sz w:val="26"/>
        </w:rPr>
        <w:t xml:space="preserve">3.1 分级部分止盈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项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目标价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动态 = 入场 ± 系数 × 历史MFE（同品种×事件强度已结算均值，样本 ≥5；非固定值）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触发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目标1（×0.6）→ 止盈 50%；目标2（×1.0）→ 再止盈 30%；剩余 20% 交移动止损/到期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记录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ai_decisions 加 partial_exit_price / partial_exit_ratio / partial_pnl_pct（同一行记录进度，不拆仓）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结算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最终盈亏 = 已平部分按平仓价 + 剩余部分按结算价（加权平均）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止盈开关 / 系数1（0.6）/ 系数2（1.0）/ 比例1（0.5）/ 比例2（0.3），后台可调，引擎 5s 生效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入口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模拟盘页面「止盈 [开] [0.6] [1.0] [0.5] [0.3]」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日志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[TRACKER] TP #xx SELL XAU 部分平仓 50% @ 4557.00 (pnl +0.72%)</w:t>
            </w:r>
          </w:p>
        </w:tc>
      </w:tr>
    </w:tbl>
    <w:p/>
    <w:p>
      <w:pPr>
        <w:spacing w:after="100"/>
      </w:pPr>
      <w:r>
        <w:rPr>
          <w:b/>
          <w:sz w:val="26"/>
        </w:rPr>
        <w:t xml:space="preserve">3.2 既有出场机制（保持）</w:t>
      </w:r>
    </w:p>
    <w:p>
      <w:pPr>
        <w:spacing w:after="60"/>
      </w:pPr>
      <w:r>
        <w:t xml:space="preserve">• 移动止损轮询 5s（从 30s 优化；价格走 2s TTL 缓存）</w:t>
      </w:r>
    </w:p>
    <w:p>
      <w:pPr>
        <w:spacing w:after="60"/>
      </w:pPr>
      <w:r>
        <w:t xml:space="preserve">• 到期结算：AI expected_horizon（1-3d→2天 / 1w+→7天）或策略 holding_horizon_minutes，默认 120 分钟</w:t>
      </w:r>
    </w:p>
    <w:p>
      <w:pPr>
        <w:spacing w:after="60"/>
      </w:pPr>
      <w:r>
        <w:t xml:space="preserve">• verdict 决策树：MFE/MAE vs IMPACT_THRESHOLD → WIN/LOSS/HOLD</w:t>
      </w:r>
    </w:p>
    <w:p>
      <w:pPr>
        <w:spacing w:after="100"/>
      </w:pPr>
      <w:r>
        <w:rPr>
          <w:b/>
          <w:sz w:val="26"/>
        </w:rPr>
        <w:t xml:space="preserve">3.3 入场即反向的止损行为（现状说明）</w:t>
      </w:r>
    </w:p>
    <w:p>
      <w:pPr>
        <w:spacing w:after="60"/>
      </w:pPr>
      <w:r>
        <w:t xml:space="preserve">• 建仓时 max_price=入场价 → 移动止损从入场价算 → 反向约 trailing_callback_rate%（默认 0.5%）触发</w:t>
      </w:r>
    </w:p>
    <w:p>
      <w:pPr>
        <w:spacing w:after="60"/>
      </w:pPr>
      <w:r>
        <w:t xml:space="preserve">• 0.5% 为固定距离（非波动自适应），高波动品种可能被正常波动扫掉——ATR 自适应止损按用户要求未实施（方案已备）</w:t>
      </w:r>
    </w:p>
    <w:p>
      <w:pPr>
        <w:spacing w:after="100"/>
      </w:pPr>
      <w:r>
        <w:rPr>
          <w:b/>
          <w:sz w:val="32"/>
        </w:rPr>
        <w:t xml:space="preserve">参数总览（全部后台可调，模拟盘页面设置行）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0" w:type="auto"/>
      </w:tblPr>
      <w:tr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参数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默认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b/>
                <w:sz w:val="18"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新闻时效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2700 秒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新闻超时禁止建仓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止盈开关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开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分级止盈总开关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止盈系数1/2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0.6 / 1.0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目标价 = 入场±系数×历史MFE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止盈比例1/2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0.5 / 0.3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两档止盈比例（剩 20%）</w:t>
            </w:r>
          </w:p>
        </w:tc>
      </w:tr>
      <w:tr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买/卖门槛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0.4 / 0.3</w:t>
            </w:r>
          </w:p>
        </w:tc>
        <w:tc>
          <w:tcPr>
            <w:tcW w:w="0" w:type="auto"/>
          </w:tcPr>
          <w:p>
            <w:pPr>
              <w:spacing w:after="20"/>
            </w:pPr>
            <w:r>
              <w:rPr>
                <w:sz w:val="18"/>
              </w:rPr>
              <w:t xml:space="preserve">闸门方向不对称分数</w:t>
            </w:r>
          </w:p>
        </w:tc>
      </w:tr>
    </w:tbl>
    <w:p/>
    <w:p>
      <w:pPr>
        <w:spacing w:after="100"/>
      </w:pPr>
      <w:r>
        <w:rPr>
          <w:b/>
          <w:sz w:val="32"/>
        </w:rPr>
        <w:t xml:space="preserve">测试与部署</w:t>
      </w:r>
    </w:p>
    <w:p>
      <w:pPr>
        <w:spacing w:after="60"/>
      </w:pPr>
      <w:r>
        <w:t xml:space="preserve">• pytest 182 全过（每次改动后回归）</w:t>
      </w:r>
    </w:p>
    <w:p>
      <w:pPr>
        <w:spacing w:after="60"/>
      </w:pPr>
      <w:r>
        <w:t xml:space="preserve">• 部署包：strategy_package_v12.zip（含全部优化）</w:t>
      </w:r>
    </w:p>
    <w:p>
      <w:pPr>
        <w:spacing w:after="60"/>
      </w:pPr>
      <w:r>
        <w:t xml:space="preserve">• 部署：解压覆盖 → 重启引擎 + API（前端重启/刷新）</w:t>
      </w:r>
    </w:p>
    <w:p>
      <w:pPr>
        <w:spacing w:after="60"/>
      </w:pPr>
      <w:r>
        <w:t xml:space="preserve">• 未实施（暂缓）：P2 市场反应窗口 / 冲高回落止盈、P5 反向新闻平仓、ATR 自适应止损</w:t>
      </w:r>
    </w:p>
    <w:p>
      <w:pPr>
        <w:spacing w:after="100"/>
      </w:pPr>
      <w:r>
        <w:rPr>
          <w:b/>
          <w:sz w:val="32"/>
        </w:rPr>
        <w:t xml:space="preserve">待办 / 可选深化</w:t>
      </w:r>
    </w:p>
    <w:p>
      <w:pPr>
        <w:spacing w:after="60"/>
      </w:pPr>
      <w:r>
        <w:t xml:space="preserve">• P2：入场 60 分钟无反应提前离场；快速冲高回落止盈</w:t>
      </w:r>
    </w:p>
    <w:p>
      <w:pPr>
        <w:spacing w:after="60"/>
      </w:pPr>
      <w:r>
        <w:t xml:space="preserve">• P5：持仓期间同品种反向新闻 → 即时平仓</w:t>
      </w:r>
    </w:p>
    <w:p>
      <w:pPr>
        <w:spacing w:after="60"/>
      </w:pPr>
      <w:r>
        <w:t xml:space="preserve">• ATR 自适应初始止损（替代固定 0.5%）</w:t>
      </w:r>
    </w:p>
    <w:p>
      <w:pPr>
        <w:spacing w:after="60"/>
      </w:pPr>
      <w:r>
        <w:t xml:space="preserve">• 单笔反思结果前端展示（trade_reflections 数据已存，可加到复盘页）</w:t>
      </w:r>
    </w:p>
  </w:body>
</w:document>
</file>