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6B71F9">
      <w:pPr>
        <w:rPr>
          <w:rFonts w:hint="eastAsia"/>
          <w:lang w:val="en-US" w:eastAsia="zh-CN"/>
        </w:rPr>
      </w:pPr>
      <w:r>
        <w:rPr>
          <w:rFonts w:hint="eastAsia"/>
          <w:lang w:val="en-US" w:eastAsia="zh-CN"/>
        </w:rPr>
        <w:t>本研究对杨树分别进行去除25%根、50%根、75%根、完全去主根（100%）以及对照组（0），以对照组命名为control，Treat1-Treat4分别对应去除25%根、50%根、75%根、完全去主根（100%），每组样本仅有一个采样点（即n=5）。</w:t>
      </w:r>
      <w:r>
        <w:rPr>
          <w:rFonts w:hint="eastAsia"/>
          <w:b/>
          <w:bCs/>
          <w:lang w:val="en-US" w:eastAsia="zh-CN"/>
        </w:rPr>
        <w:t>旨在研究以杨树为例的植物在面对不同程度的机械损伤时，根系分泌物以及根际微生物的变化，意在探究何种微生物对植物及环境修复有益，何种分泌物可以主动调节恢复植物生理功能及吸引有益微生物调节生长过程和环境，</w:t>
      </w:r>
      <w:r>
        <w:rPr>
          <w:rFonts w:hint="eastAsia"/>
          <w:lang w:val="en-US" w:eastAsia="zh-CN"/>
        </w:rPr>
        <w:t>为治理采矿塌陷区、修复采矿影</w:t>
      </w:r>
      <w:bookmarkStart w:id="0" w:name="_GoBack"/>
      <w:bookmarkEnd w:id="0"/>
      <w:r>
        <w:rPr>
          <w:rFonts w:hint="eastAsia"/>
          <w:lang w:val="en-US" w:eastAsia="zh-CN"/>
        </w:rPr>
        <w:t>响的植被生态环境损伤奠定理论基础。</w:t>
      </w:r>
    </w:p>
    <w:p w14:paraId="274B242D">
      <w:pPr>
        <w:rPr>
          <w:rFonts w:hint="eastAsia"/>
          <w:lang w:val="en-US" w:eastAsia="zh-CN"/>
        </w:rPr>
      </w:pPr>
      <w:r>
        <w:rPr>
          <w:rFonts w:hint="eastAsia"/>
          <w:lang w:val="en-US" w:eastAsia="zh-CN"/>
        </w:rPr>
        <w:t>研究结果从（1）不同主根损伤影响下根系分泌物的变化（2）不同主根损伤影响下根际微生物群落分布格局的改变（3）筛选显著变化的根系分泌物和微生物（基于基于 Fold Change中位数倍数变化），探索互作关联。</w:t>
      </w:r>
    </w:p>
    <w:p w14:paraId="52A14CA7">
      <w:pPr>
        <w:rPr>
          <w:rFonts w:hint="default"/>
          <w:lang w:val="en-US" w:eastAsia="zh-CN"/>
        </w:rPr>
      </w:pPr>
    </w:p>
    <w:p w14:paraId="782CA6C6">
      <w:pPr>
        <w:rPr>
          <w:rFonts w:hint="default"/>
          <w:lang w:val="en-US" w:eastAsia="zh-CN"/>
        </w:rPr>
      </w:pPr>
      <w:r>
        <w:rPr>
          <w:rFonts w:hint="default"/>
          <w:b/>
          <w:bCs/>
          <w:lang w:val="en-US" w:eastAsia="zh-CN"/>
        </w:rPr>
        <w:t>一、基本生态响应：根系分泌物组成结构的调整</w:t>
      </w:r>
    </w:p>
    <w:p w14:paraId="7A2BEEAB">
      <w:pPr>
        <w:widowControl w:val="0"/>
        <w:numPr>
          <w:ilvl w:val="0"/>
          <w:numId w:val="1"/>
        </w:numPr>
        <w:jc w:val="both"/>
        <w:rPr>
          <w:rFonts w:hint="eastAsia"/>
          <w:lang w:val="en-US" w:eastAsia="zh-CN"/>
        </w:rPr>
      </w:pPr>
      <w:r>
        <w:rPr>
          <w:rFonts w:hint="eastAsia"/>
          <w:lang w:val="en-US" w:eastAsia="zh-CN"/>
        </w:rPr>
        <w:t>（1）Z-score 热图（pheatmap）</w:t>
      </w:r>
    </w:p>
    <w:p w14:paraId="4830DA52">
      <w:pPr>
        <w:rPr>
          <w:rFonts w:hint="eastAsia"/>
          <w:lang w:val="en-US" w:eastAsia="zh-CN"/>
        </w:rPr>
      </w:pPr>
      <w:r>
        <w:rPr>
          <w:rFonts w:hint="default"/>
          <w:lang w:val="en-US" w:eastAsia="zh-CN"/>
        </w:rPr>
        <w:t>Z-score 热图显示，根系分泌物在 Treat3/4 组有明显增强，效应化合物分组显现统一增强趋势</w:t>
      </w:r>
    </w:p>
    <w:p w14:paraId="01654349">
      <w:pPr>
        <w:widowControl w:val="0"/>
        <w:numPr>
          <w:ilvl w:val="0"/>
          <w:numId w:val="0"/>
        </w:numPr>
        <w:jc w:val="center"/>
      </w:pPr>
      <w:r>
        <w:drawing>
          <wp:inline distT="0" distB="0" distL="114300" distR="114300">
            <wp:extent cx="5271770" cy="3173095"/>
            <wp:effectExtent l="0" t="0" r="508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770" cy="3173095"/>
                    </a:xfrm>
                    <a:prstGeom prst="rect">
                      <a:avLst/>
                    </a:prstGeom>
                    <a:noFill/>
                    <a:ln>
                      <a:noFill/>
                    </a:ln>
                  </pic:spPr>
                </pic:pic>
              </a:graphicData>
            </a:graphic>
          </wp:inline>
        </w:drawing>
      </w:r>
    </w:p>
    <w:p w14:paraId="251A7DC6">
      <w:pPr>
        <w:widowControl w:val="0"/>
        <w:numPr>
          <w:ilvl w:val="0"/>
          <w:numId w:val="2"/>
        </w:numPr>
        <w:jc w:val="both"/>
        <w:rPr>
          <w:rFonts w:hint="eastAsia"/>
          <w:lang w:val="en-US" w:eastAsia="zh-CN"/>
        </w:rPr>
      </w:pPr>
      <w:r>
        <w:rPr>
          <w:rFonts w:hint="eastAsia"/>
          <w:lang w:val="en-US" w:eastAsia="zh-CN"/>
        </w:rPr>
        <w:t>分泌物 max log2FC 排序条形图</w:t>
      </w:r>
    </w:p>
    <w:p w14:paraId="78F988F6">
      <w:pPr>
        <w:rPr>
          <w:rFonts w:hint="eastAsia"/>
          <w:lang w:val="en-US" w:eastAsia="zh-CN"/>
        </w:rPr>
      </w:pPr>
      <w:r>
        <w:rPr>
          <w:rFonts w:hint="default"/>
          <w:lang w:val="en-US" w:eastAsia="zh-CN"/>
        </w:rPr>
        <w:t>log2FC 排序图显示有机酸、苯类物质和瘤类物质是最显著上调的分组</w:t>
      </w:r>
    </w:p>
    <w:p w14:paraId="4A1500DF">
      <w:pPr>
        <w:widowControl w:val="0"/>
        <w:numPr>
          <w:ilvl w:val="0"/>
          <w:numId w:val="0"/>
        </w:numPr>
        <w:jc w:val="center"/>
      </w:pPr>
      <w:r>
        <w:drawing>
          <wp:inline distT="0" distB="0" distL="114300" distR="114300">
            <wp:extent cx="5267325" cy="3141980"/>
            <wp:effectExtent l="0" t="0" r="952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7325" cy="3141980"/>
                    </a:xfrm>
                    <a:prstGeom prst="rect">
                      <a:avLst/>
                    </a:prstGeom>
                    <a:noFill/>
                    <a:ln>
                      <a:noFill/>
                    </a:ln>
                  </pic:spPr>
                </pic:pic>
              </a:graphicData>
            </a:graphic>
          </wp:inline>
        </w:drawing>
      </w:r>
    </w:p>
    <w:p w14:paraId="059005F2">
      <w:pPr>
        <w:widowControl w:val="0"/>
        <w:numPr>
          <w:ilvl w:val="0"/>
          <w:numId w:val="3"/>
        </w:numPr>
        <w:jc w:val="both"/>
        <w:rPr>
          <w:rFonts w:hint="eastAsia"/>
          <w:lang w:val="en-US" w:eastAsia="zh-CN"/>
        </w:rPr>
      </w:pPr>
      <w:r>
        <w:rPr>
          <w:rFonts w:hint="eastAsia"/>
          <w:lang w:val="en-US" w:eastAsia="zh-CN"/>
        </w:rPr>
        <w:t>Spearman 共变网络图（正负相关 + 模块划分）</w:t>
      </w:r>
    </w:p>
    <w:p w14:paraId="1610A058">
      <w:pPr>
        <w:widowControl w:val="0"/>
        <w:numPr>
          <w:ilvl w:val="0"/>
          <w:numId w:val="0"/>
        </w:numPr>
        <w:jc w:val="center"/>
      </w:pPr>
      <w:r>
        <w:drawing>
          <wp:inline distT="0" distB="0" distL="114300" distR="114300">
            <wp:extent cx="5270500" cy="3147060"/>
            <wp:effectExtent l="0" t="0" r="6350"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0500" cy="3147060"/>
                    </a:xfrm>
                    <a:prstGeom prst="rect">
                      <a:avLst/>
                    </a:prstGeom>
                    <a:noFill/>
                    <a:ln>
                      <a:noFill/>
                    </a:ln>
                  </pic:spPr>
                </pic:pic>
              </a:graphicData>
            </a:graphic>
          </wp:inline>
        </w:drawing>
      </w:r>
    </w:p>
    <w:p w14:paraId="6D0FD196">
      <w:pPr>
        <w:widowControl w:val="0"/>
        <w:numPr>
          <w:ilvl w:val="0"/>
          <w:numId w:val="3"/>
        </w:numPr>
        <w:ind w:left="0" w:leftChars="0" w:firstLine="0" w:firstLineChars="0"/>
        <w:jc w:val="both"/>
        <w:rPr>
          <w:rFonts w:hint="default"/>
          <w:lang w:val="en-US" w:eastAsia="zh-CN"/>
        </w:rPr>
      </w:pPr>
      <w:r>
        <w:rPr>
          <w:rFonts w:hint="eastAsia"/>
          <w:lang w:val="en-US" w:eastAsia="zh-CN"/>
        </w:rPr>
        <w:t>关键分泌物 log2FC 趋势图（Top50）+ 回归线 + 显著性标注（线性趋势）</w:t>
      </w:r>
    </w:p>
    <w:p w14:paraId="42901C6B">
      <w:pPr>
        <w:widowControl w:val="0"/>
        <w:numPr>
          <w:ilvl w:val="0"/>
          <w:numId w:val="0"/>
        </w:numPr>
        <w:jc w:val="both"/>
        <w:rPr>
          <w:rFonts w:hint="default"/>
          <w:lang w:val="en-US" w:eastAsia="zh-CN"/>
        </w:rPr>
      </w:pPr>
      <w:r>
        <w:rPr>
          <w:rFonts w:hint="default"/>
          <w:lang w:val="en-US" w:eastAsia="zh-CN"/>
        </w:rPr>
        <w:t>线性回归论证：多种分泌物的富集突破值在 Treat3或Treat4 组，并与截断比例成正相关</w:t>
      </w:r>
    </w:p>
    <w:p w14:paraId="76D6F20F">
      <w:pPr>
        <w:widowControl w:val="0"/>
        <w:numPr>
          <w:ilvl w:val="0"/>
          <w:numId w:val="0"/>
        </w:numPr>
        <w:ind w:leftChars="0"/>
        <w:jc w:val="center"/>
      </w:pPr>
      <w:r>
        <w:drawing>
          <wp:inline distT="0" distB="0" distL="114300" distR="114300">
            <wp:extent cx="5269230" cy="3497580"/>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230" cy="3497580"/>
                    </a:xfrm>
                    <a:prstGeom prst="rect">
                      <a:avLst/>
                    </a:prstGeom>
                    <a:noFill/>
                    <a:ln>
                      <a:noFill/>
                    </a:ln>
                  </pic:spPr>
                </pic:pic>
              </a:graphicData>
            </a:graphic>
          </wp:inline>
        </w:drawing>
      </w:r>
    </w:p>
    <w:p w14:paraId="5A165AFD">
      <w:pPr>
        <w:rPr>
          <w:rFonts w:hint="default"/>
          <w:lang w:val="en-US" w:eastAsia="zh-CN"/>
        </w:rPr>
      </w:pPr>
      <w:r>
        <w:rPr>
          <w:rFonts w:hint="default"/>
          <w:lang w:val="en-US" w:eastAsia="zh-CN"/>
        </w:rPr>
        <w:t>讨论重点</w:t>
      </w:r>
    </w:p>
    <w:p w14:paraId="0CA112EE">
      <w:pPr>
        <w:rPr>
          <w:rFonts w:hint="default"/>
          <w:lang w:val="en-US" w:eastAsia="zh-CN"/>
        </w:rPr>
      </w:pPr>
      <w:r>
        <w:rPr>
          <w:rFonts w:hint="default"/>
          <w:lang w:val="en-US" w:eastAsia="zh-CN"/>
        </w:rPr>
        <w:t>根系能够通过分泌物给予根际异为信号和环境缓冻</w:t>
      </w:r>
    </w:p>
    <w:p w14:paraId="23A1DC93">
      <w:pPr>
        <w:widowControl w:val="0"/>
        <w:numPr>
          <w:ilvl w:val="0"/>
          <w:numId w:val="0"/>
        </w:numPr>
        <w:ind w:leftChars="0"/>
        <w:jc w:val="both"/>
      </w:pPr>
      <w:r>
        <w:rPr>
          <w:rFonts w:hint="default"/>
          <w:lang w:val="en-US" w:eastAsia="zh-CN"/>
        </w:rPr>
        <w:t>根据趋势，分泌物可能是对截断搅动的一种"induced response"，这种反应可能经由体内信号通路等调节</w:t>
      </w:r>
    </w:p>
    <w:p w14:paraId="58AA4480">
      <w:pPr>
        <w:numPr>
          <w:ilvl w:val="0"/>
          <w:numId w:val="4"/>
        </w:numPr>
        <w:rPr>
          <w:rFonts w:hint="default"/>
          <w:b/>
          <w:bCs/>
          <w:lang w:val="en-US" w:eastAsia="zh-CN"/>
        </w:rPr>
      </w:pPr>
      <w:r>
        <w:rPr>
          <w:rFonts w:hint="default"/>
          <w:b/>
          <w:bCs/>
          <w:lang w:val="en-US" w:eastAsia="zh-CN"/>
        </w:rPr>
        <w:t>根际微生态群组重构</w:t>
      </w:r>
    </w:p>
    <w:p w14:paraId="39BAF227">
      <w:pPr>
        <w:rPr>
          <w:rFonts w:hint="eastAsia"/>
          <w:lang w:val="en-US" w:eastAsia="zh-CN"/>
        </w:rPr>
      </w:pPr>
      <w:r>
        <w:rPr>
          <w:rFonts w:hint="default"/>
          <w:lang w:val="en-US" w:eastAsia="zh-CN"/>
        </w:rPr>
        <w:t>多样本的累积热图 + 群组PCoA 分析：Treat3/4 样本在群组空间上显著离散</w:t>
      </w:r>
      <w:r>
        <w:rPr>
          <w:rFonts w:hint="eastAsia"/>
          <w:lang w:val="en-US" w:eastAsia="zh-CN"/>
        </w:rPr>
        <w:t>；</w:t>
      </w:r>
    </w:p>
    <w:p w14:paraId="248CE4AB">
      <w:pPr>
        <w:rPr>
          <w:rFonts w:hint="default"/>
          <w:lang w:val="en-US" w:eastAsia="zh-CN"/>
        </w:rPr>
      </w:pPr>
      <w:r>
        <w:rPr>
          <w:rFonts w:hint="default"/>
          <w:lang w:val="en-US" w:eastAsia="zh-CN"/>
        </w:rPr>
        <w:t>一些关键菌间（如Proteobacteria）在Treat4组中显著增加，展示根际列维重构趋势</w:t>
      </w:r>
    </w:p>
    <w:p w14:paraId="058BE744">
      <w:pPr>
        <w:rPr>
          <w:rFonts w:hint="default"/>
          <w:lang w:val="en-US" w:eastAsia="zh-CN"/>
        </w:rPr>
      </w:pPr>
      <w:r>
        <w:rPr>
          <w:rFonts w:hint="default"/>
          <w:lang w:val="en-US" w:eastAsia="zh-CN"/>
        </w:rPr>
        <w:t>共现网络中的模块列明，找到了一些运行突出的hub 菌间</w:t>
      </w:r>
    </w:p>
    <w:p w14:paraId="3EAE3D16">
      <w:pPr>
        <w:widowControl w:val="0"/>
        <w:numPr>
          <w:ilvl w:val="0"/>
          <w:numId w:val="1"/>
        </w:numPr>
        <w:ind w:left="0" w:leftChars="0" w:firstLine="0" w:firstLineChars="0"/>
        <w:jc w:val="both"/>
        <w:rPr>
          <w:rFonts w:hint="eastAsia"/>
          <w:lang w:val="en-US" w:eastAsia="zh-CN"/>
        </w:rPr>
      </w:pPr>
      <w:r>
        <w:rPr>
          <w:rFonts w:hint="eastAsia"/>
          <w:lang w:val="en-US" w:eastAsia="zh-CN"/>
        </w:rPr>
        <w:t>（1）α多样性与PCoA展示</w:t>
      </w:r>
    </w:p>
    <w:p w14:paraId="77FC026E">
      <w:pPr>
        <w:widowControl w:val="0"/>
        <w:numPr>
          <w:ilvl w:val="0"/>
          <w:numId w:val="0"/>
        </w:numPr>
        <w:jc w:val="center"/>
      </w:pPr>
      <w:r>
        <w:drawing>
          <wp:inline distT="0" distB="0" distL="114300" distR="114300">
            <wp:extent cx="5272405" cy="2454275"/>
            <wp:effectExtent l="0" t="0" r="444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2405" cy="2454275"/>
                    </a:xfrm>
                    <a:prstGeom prst="rect">
                      <a:avLst/>
                    </a:prstGeom>
                    <a:noFill/>
                    <a:ln>
                      <a:noFill/>
                    </a:ln>
                  </pic:spPr>
                </pic:pic>
              </a:graphicData>
            </a:graphic>
          </wp:inline>
        </w:drawing>
      </w:r>
    </w:p>
    <w:p w14:paraId="0E7C9285">
      <w:pPr>
        <w:widowControl w:val="0"/>
        <w:numPr>
          <w:ilvl w:val="0"/>
          <w:numId w:val="5"/>
        </w:numPr>
        <w:jc w:val="both"/>
        <w:rPr>
          <w:rFonts w:hint="eastAsia"/>
          <w:lang w:val="en-US" w:eastAsia="zh-CN"/>
        </w:rPr>
      </w:pPr>
      <w:r>
        <w:rPr>
          <w:rFonts w:hint="eastAsia"/>
          <w:lang w:val="en-US" w:eastAsia="zh-CN"/>
        </w:rPr>
        <w:t>单样本分组热图</w:t>
      </w:r>
    </w:p>
    <w:p w14:paraId="6C69E5C1">
      <w:pPr>
        <w:widowControl w:val="0"/>
        <w:numPr>
          <w:ilvl w:val="0"/>
          <w:numId w:val="0"/>
        </w:numPr>
        <w:jc w:val="center"/>
      </w:pPr>
      <w:r>
        <w:drawing>
          <wp:inline distT="0" distB="0" distL="114300" distR="114300">
            <wp:extent cx="5271770" cy="4251960"/>
            <wp:effectExtent l="0" t="0" r="5080" b="152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1770" cy="4251960"/>
                    </a:xfrm>
                    <a:prstGeom prst="rect">
                      <a:avLst/>
                    </a:prstGeom>
                    <a:noFill/>
                    <a:ln>
                      <a:noFill/>
                    </a:ln>
                  </pic:spPr>
                </pic:pic>
              </a:graphicData>
            </a:graphic>
          </wp:inline>
        </w:drawing>
      </w:r>
    </w:p>
    <w:p w14:paraId="54BA3ACE">
      <w:pPr>
        <w:widowControl w:val="0"/>
        <w:numPr>
          <w:ilvl w:val="0"/>
          <w:numId w:val="5"/>
        </w:numPr>
        <w:ind w:left="0" w:leftChars="0" w:firstLine="0" w:firstLineChars="0"/>
        <w:jc w:val="both"/>
        <w:rPr>
          <w:rFonts w:hint="eastAsia"/>
          <w:lang w:val="en-US" w:eastAsia="zh-CN"/>
        </w:rPr>
      </w:pPr>
      <w:r>
        <w:rPr>
          <w:rFonts w:hint="eastAsia"/>
          <w:lang w:val="en-US" w:eastAsia="zh-CN"/>
        </w:rPr>
        <w:t>微生物共现网络图</w:t>
      </w:r>
    </w:p>
    <w:p w14:paraId="18B924FB">
      <w:pPr>
        <w:widowControl w:val="0"/>
        <w:numPr>
          <w:ilvl w:val="0"/>
          <w:numId w:val="0"/>
        </w:numPr>
        <w:jc w:val="center"/>
      </w:pPr>
      <w:r>
        <w:drawing>
          <wp:inline distT="0" distB="0" distL="114300" distR="114300">
            <wp:extent cx="4311015" cy="2637155"/>
            <wp:effectExtent l="0" t="0" r="13335"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311015" cy="2637155"/>
                    </a:xfrm>
                    <a:prstGeom prst="rect">
                      <a:avLst/>
                    </a:prstGeom>
                    <a:noFill/>
                    <a:ln>
                      <a:noFill/>
                    </a:ln>
                  </pic:spPr>
                </pic:pic>
              </a:graphicData>
            </a:graphic>
          </wp:inline>
        </w:drawing>
      </w:r>
    </w:p>
    <w:p w14:paraId="791B8DCC">
      <w:pPr>
        <w:widowControl w:val="0"/>
        <w:numPr>
          <w:ilvl w:val="0"/>
          <w:numId w:val="5"/>
        </w:numPr>
        <w:ind w:left="0" w:leftChars="0" w:firstLine="0" w:firstLineChars="0"/>
        <w:jc w:val="left"/>
        <w:rPr>
          <w:rFonts w:hint="eastAsia"/>
          <w:lang w:val="en-US" w:eastAsia="zh-CN"/>
        </w:rPr>
      </w:pPr>
      <w:r>
        <w:rPr>
          <w:rFonts w:hint="eastAsia"/>
          <w:lang w:val="en-US" w:eastAsia="zh-CN"/>
        </w:rPr>
        <w:t>趋势菌门</w:t>
      </w:r>
    </w:p>
    <w:p w14:paraId="0B2B38B9">
      <w:pPr>
        <w:widowControl w:val="0"/>
        <w:numPr>
          <w:ilvl w:val="0"/>
          <w:numId w:val="0"/>
        </w:numPr>
        <w:ind w:leftChars="0"/>
        <w:jc w:val="center"/>
      </w:pPr>
      <w:r>
        <w:drawing>
          <wp:inline distT="0" distB="0" distL="114300" distR="114300">
            <wp:extent cx="5267960" cy="3038475"/>
            <wp:effectExtent l="0" t="0" r="889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7960" cy="3038475"/>
                    </a:xfrm>
                    <a:prstGeom prst="rect">
                      <a:avLst/>
                    </a:prstGeom>
                    <a:noFill/>
                    <a:ln>
                      <a:noFill/>
                    </a:ln>
                  </pic:spPr>
                </pic:pic>
              </a:graphicData>
            </a:graphic>
          </wp:inline>
        </w:drawing>
      </w:r>
    </w:p>
    <w:p w14:paraId="74FD093E">
      <w:pPr>
        <w:rPr>
          <w:rFonts w:hint="default"/>
          <w:lang w:val="en-US" w:eastAsia="zh-CN"/>
        </w:rPr>
      </w:pPr>
      <w:r>
        <w:rPr>
          <w:rFonts w:hint="default"/>
          <w:lang w:val="en-US" w:eastAsia="zh-CN"/>
        </w:rPr>
        <w:t>讨论重点</w:t>
      </w:r>
    </w:p>
    <w:p w14:paraId="600FDA70">
      <w:pPr>
        <w:rPr>
          <w:rFonts w:hint="default"/>
          <w:lang w:val="en-US" w:eastAsia="zh-CN"/>
        </w:rPr>
      </w:pPr>
      <w:r>
        <w:rPr>
          <w:rFonts w:hint="default"/>
          <w:lang w:val="en-US" w:eastAsia="zh-CN"/>
        </w:rPr>
        <w:t>有关Treat3/4群组组成结构的显著分离，表明根截断导致微生态重构</w:t>
      </w:r>
      <w:r>
        <w:rPr>
          <w:rFonts w:hint="eastAsia"/>
          <w:lang w:val="en-US" w:eastAsia="zh-CN"/>
        </w:rPr>
        <w:t>；</w:t>
      </w:r>
    </w:p>
    <w:p w14:paraId="530196AE">
      <w:r>
        <w:rPr>
          <w:rFonts w:hint="default"/>
          <w:lang w:val="en-US" w:eastAsia="zh-CN"/>
        </w:rPr>
        <w:t>特定菌群被提升</w:t>
      </w:r>
      <w:r>
        <w:rPr>
          <w:rFonts w:hint="eastAsia"/>
          <w:lang w:val="en-US" w:eastAsia="zh-CN"/>
        </w:rPr>
        <w:t>，</w:t>
      </w:r>
      <w:r>
        <w:rPr>
          <w:rFonts w:hint="default"/>
          <w:lang w:val="en-US" w:eastAsia="zh-CN"/>
        </w:rPr>
        <w:t>菌间的群组模块和分组互联信息模型存在</w:t>
      </w:r>
    </w:p>
    <w:p w14:paraId="0E807AE3">
      <w:pPr>
        <w:numPr>
          <w:ilvl w:val="0"/>
          <w:numId w:val="4"/>
        </w:numPr>
        <w:ind w:left="0" w:leftChars="0" w:firstLine="0" w:firstLineChars="0"/>
        <w:rPr>
          <w:rFonts w:hint="default"/>
          <w:b/>
          <w:bCs/>
          <w:lang w:val="en-US" w:eastAsia="zh-CN"/>
        </w:rPr>
      </w:pPr>
      <w:r>
        <w:rPr>
          <w:rFonts w:hint="default"/>
          <w:b/>
          <w:bCs/>
          <w:lang w:val="en-US" w:eastAsia="zh-CN"/>
        </w:rPr>
        <w:t>分泌物-微生物互作连接验证</w:t>
      </w:r>
    </w:p>
    <w:p w14:paraId="55B3238A">
      <w:pPr>
        <w:rPr>
          <w:rFonts w:hint="default"/>
          <w:lang w:val="en-US" w:eastAsia="zh-CN"/>
        </w:rPr>
      </w:pPr>
      <w:r>
        <w:rPr>
          <w:rFonts w:hint="default"/>
          <w:lang w:val="en-US" w:eastAsia="zh-CN"/>
        </w:rPr>
        <w:t>PROTEST p &lt; 0.05，表明分泌物和菌组具有较强互作信号</w:t>
      </w:r>
    </w:p>
    <w:p w14:paraId="6ABBD124">
      <w:pPr>
        <w:rPr>
          <w:rFonts w:hint="default"/>
          <w:lang w:val="en-US" w:eastAsia="zh-CN"/>
        </w:rPr>
      </w:pPr>
      <w:r>
        <w:rPr>
          <w:rFonts w:hint="default"/>
          <w:lang w:val="en-US" w:eastAsia="zh-CN"/>
        </w:rPr>
        <w:t>sPLS-DA 结果显示，一组分泌物和菌组具有强关联对应，特定分泌物较经常是跳起点</w:t>
      </w:r>
    </w:p>
    <w:p w14:paraId="23653BD4">
      <w:pPr>
        <w:rPr>
          <w:rFonts w:hint="default"/>
          <w:b/>
          <w:bCs/>
          <w:lang w:val="en-US" w:eastAsia="zh-CN"/>
        </w:rPr>
      </w:pPr>
      <w:r>
        <w:rPr>
          <w:rFonts w:hint="default"/>
          <w:lang w:val="en-US" w:eastAsia="zh-CN"/>
        </w:rPr>
        <w:t>Circos 图中显示有多对分泌物-菌间有明显正/负关联</w:t>
      </w:r>
    </w:p>
    <w:p w14:paraId="264E9BB0">
      <w:pPr>
        <w:widowControl w:val="0"/>
        <w:numPr>
          <w:ilvl w:val="0"/>
          <w:numId w:val="1"/>
        </w:numPr>
        <w:ind w:left="0" w:leftChars="0" w:firstLine="0" w:firstLineChars="0"/>
        <w:jc w:val="both"/>
        <w:rPr>
          <w:rFonts w:hint="eastAsia"/>
          <w:lang w:val="en-US" w:eastAsia="zh-CN"/>
        </w:rPr>
      </w:pPr>
      <w:r>
        <w:rPr>
          <w:rFonts w:hint="eastAsia"/>
          <w:lang w:val="en-US" w:eastAsia="zh-CN"/>
        </w:rPr>
        <w:t>（1）PROTEST 显著性检验</w:t>
      </w:r>
    </w:p>
    <w:p w14:paraId="4BCC63A3">
      <w:pPr>
        <w:widowControl w:val="0"/>
        <w:numPr>
          <w:ilvl w:val="0"/>
          <w:numId w:val="0"/>
        </w:numPr>
        <w:ind w:leftChars="0"/>
        <w:jc w:val="center"/>
      </w:pPr>
      <w:r>
        <w:drawing>
          <wp:inline distT="0" distB="0" distL="114300" distR="114300">
            <wp:extent cx="5272405" cy="3154045"/>
            <wp:effectExtent l="0" t="0" r="4445"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2405" cy="3154045"/>
                    </a:xfrm>
                    <a:prstGeom prst="rect">
                      <a:avLst/>
                    </a:prstGeom>
                    <a:noFill/>
                    <a:ln>
                      <a:noFill/>
                    </a:ln>
                  </pic:spPr>
                </pic:pic>
              </a:graphicData>
            </a:graphic>
          </wp:inline>
        </w:drawing>
      </w:r>
    </w:p>
    <w:p w14:paraId="75332FA8">
      <w:pPr>
        <w:widowControl w:val="0"/>
        <w:numPr>
          <w:ilvl w:val="0"/>
          <w:numId w:val="6"/>
        </w:numPr>
        <w:ind w:leftChars="0"/>
        <w:jc w:val="both"/>
        <w:rPr>
          <w:rFonts w:hint="eastAsia"/>
          <w:lang w:val="en-US" w:eastAsia="zh-CN"/>
        </w:rPr>
      </w:pPr>
      <w:r>
        <w:rPr>
          <w:rFonts w:hint="eastAsia"/>
          <w:lang w:val="en-US" w:eastAsia="zh-CN"/>
        </w:rPr>
        <w:t>sPLS-DA模型</w:t>
      </w:r>
    </w:p>
    <w:p w14:paraId="592A4ECF">
      <w:pPr>
        <w:widowControl w:val="0"/>
        <w:numPr>
          <w:ilvl w:val="0"/>
          <w:numId w:val="0"/>
        </w:numPr>
        <w:jc w:val="both"/>
      </w:pPr>
      <w:r>
        <w:drawing>
          <wp:inline distT="0" distB="0" distL="114300" distR="114300">
            <wp:extent cx="5267325" cy="2327910"/>
            <wp:effectExtent l="0" t="0" r="9525" b="152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7325" cy="2327910"/>
                    </a:xfrm>
                    <a:prstGeom prst="rect">
                      <a:avLst/>
                    </a:prstGeom>
                    <a:noFill/>
                    <a:ln>
                      <a:noFill/>
                    </a:ln>
                  </pic:spPr>
                </pic:pic>
              </a:graphicData>
            </a:graphic>
          </wp:inline>
        </w:drawing>
      </w:r>
    </w:p>
    <w:p w14:paraId="782161FF">
      <w:pPr>
        <w:widowControl w:val="0"/>
        <w:numPr>
          <w:ilvl w:val="0"/>
          <w:numId w:val="6"/>
        </w:numPr>
        <w:ind w:left="0" w:leftChars="0" w:firstLine="0" w:firstLineChars="0"/>
        <w:jc w:val="both"/>
        <w:rPr>
          <w:rFonts w:hint="eastAsia"/>
          <w:lang w:val="en-US" w:eastAsia="zh-CN"/>
        </w:rPr>
      </w:pPr>
      <w:r>
        <w:rPr>
          <w:rFonts w:hint="eastAsia"/>
          <w:lang w:val="en-US" w:eastAsia="zh-CN"/>
        </w:rPr>
        <w:t>Circos chord 图与 log2FC</w:t>
      </w:r>
    </w:p>
    <w:p w14:paraId="461A1E61">
      <w:pPr>
        <w:widowControl w:val="0"/>
        <w:numPr>
          <w:ilvl w:val="0"/>
          <w:numId w:val="0"/>
        </w:numPr>
        <w:jc w:val="both"/>
      </w:pPr>
      <w:r>
        <w:drawing>
          <wp:inline distT="0" distB="0" distL="114300" distR="114300">
            <wp:extent cx="5266690" cy="3418205"/>
            <wp:effectExtent l="0" t="0" r="10160"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6690" cy="3418205"/>
                    </a:xfrm>
                    <a:prstGeom prst="rect">
                      <a:avLst/>
                    </a:prstGeom>
                    <a:noFill/>
                    <a:ln>
                      <a:noFill/>
                    </a:ln>
                  </pic:spPr>
                </pic:pic>
              </a:graphicData>
            </a:graphic>
          </wp:inline>
        </w:drawing>
      </w:r>
    </w:p>
    <w:p w14:paraId="58EEF47C">
      <w:pPr>
        <w:widowControl w:val="0"/>
        <w:numPr>
          <w:ilvl w:val="0"/>
          <w:numId w:val="0"/>
        </w:numPr>
        <w:jc w:val="both"/>
        <w:rPr>
          <w:rFonts w:hint="default" w:eastAsiaTheme="minorEastAsia"/>
          <w:lang w:val="en-US" w:eastAsia="zh-CN"/>
        </w:rPr>
      </w:pPr>
      <w:r>
        <w:rPr>
          <w:rFonts w:hint="eastAsia"/>
          <w:lang w:val="en-US" w:eastAsia="zh-CN"/>
        </w:rPr>
        <w:t>讨论：探索回答互作关联，</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6A54A"/>
    <w:multiLevelType w:val="singleLevel"/>
    <w:tmpl w:val="81B6A54A"/>
    <w:lvl w:ilvl="0" w:tentative="0">
      <w:start w:val="3"/>
      <w:numFmt w:val="decimal"/>
      <w:suff w:val="nothing"/>
      <w:lvlText w:val="（%1）"/>
      <w:lvlJc w:val="left"/>
    </w:lvl>
  </w:abstractNum>
  <w:abstractNum w:abstractNumId="1">
    <w:nsid w:val="94751B26"/>
    <w:multiLevelType w:val="singleLevel"/>
    <w:tmpl w:val="94751B26"/>
    <w:lvl w:ilvl="0" w:tentative="0">
      <w:start w:val="1"/>
      <w:numFmt w:val="decimal"/>
      <w:suff w:val="nothing"/>
      <w:lvlText w:val="%1、"/>
      <w:lvlJc w:val="left"/>
    </w:lvl>
  </w:abstractNum>
  <w:abstractNum w:abstractNumId="2">
    <w:nsid w:val="D35ECF04"/>
    <w:multiLevelType w:val="singleLevel"/>
    <w:tmpl w:val="D35ECF04"/>
    <w:lvl w:ilvl="0" w:tentative="0">
      <w:start w:val="2"/>
      <w:numFmt w:val="decimal"/>
      <w:suff w:val="nothing"/>
      <w:lvlText w:val="（%1）"/>
      <w:lvlJc w:val="left"/>
    </w:lvl>
  </w:abstractNum>
  <w:abstractNum w:abstractNumId="3">
    <w:nsid w:val="04D3E12B"/>
    <w:multiLevelType w:val="singleLevel"/>
    <w:tmpl w:val="04D3E12B"/>
    <w:lvl w:ilvl="0" w:tentative="0">
      <w:start w:val="2"/>
      <w:numFmt w:val="chineseCounting"/>
      <w:suff w:val="nothing"/>
      <w:lvlText w:val="%1、"/>
      <w:lvlJc w:val="left"/>
      <w:rPr>
        <w:rFonts w:hint="eastAsia"/>
      </w:rPr>
    </w:lvl>
  </w:abstractNum>
  <w:abstractNum w:abstractNumId="4">
    <w:nsid w:val="3B8F1046"/>
    <w:multiLevelType w:val="singleLevel"/>
    <w:tmpl w:val="3B8F1046"/>
    <w:lvl w:ilvl="0" w:tentative="0">
      <w:start w:val="2"/>
      <w:numFmt w:val="decimal"/>
      <w:suff w:val="nothing"/>
      <w:lvlText w:val="（%1）"/>
      <w:lvlJc w:val="left"/>
    </w:lvl>
  </w:abstractNum>
  <w:abstractNum w:abstractNumId="5">
    <w:nsid w:val="6AEE773A"/>
    <w:multiLevelType w:val="singleLevel"/>
    <w:tmpl w:val="6AEE773A"/>
    <w:lvl w:ilvl="0" w:tentative="0">
      <w:start w:val="2"/>
      <w:numFmt w:val="decimal"/>
      <w:suff w:val="nothing"/>
      <w:lvlText w:val="（%1）"/>
      <w:lvlJc w:val="left"/>
    </w:lvl>
  </w:abstractNum>
  <w:num w:numId="1">
    <w:abstractNumId w:val="1"/>
  </w:num>
  <w:num w:numId="2">
    <w:abstractNumId w:val="5"/>
  </w:num>
  <w:num w:numId="3">
    <w:abstractNumId w:val="0"/>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AE1EEF"/>
    <w:rsid w:val="5A21580E"/>
    <w:rsid w:val="655B4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425</Words>
  <Characters>536</Characters>
  <Lines>0</Lines>
  <Paragraphs>0</Paragraphs>
  <TotalTime>8</TotalTime>
  <ScaleCrop>false</ScaleCrop>
  <LinksUpToDate>false</LinksUpToDate>
  <CharactersWithSpaces>554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2025-05-27T07:04:00Z</dcterms:created>
  <dc:creator>灵</dc:creator>
  <cp:lastModifiedBy>霜蟾</cp:lastModifiedBy>
  <dcterms:modified xsi:type="dcterms:W3CDTF">2025-06-14T10:57:28Z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eyJoZGlkIjoiN2ZiMWU4NjE2ZThjZWFmNTIyNjY1N2Y2MGM4NGU0YzgiLCJ1c2VySWQiOiIxMTMxNDE1MDA4In0=</vt:lpwstr>
  </property>
  <property fmtid="{D5CDD505-2E9C-101B-9397-08002B2CF9AE}" pid="4" name="ICV">
    <vt:lpwstr>E6EE6B1B1EE54F6B9758B59CD4DB9969_12</vt:lpwstr>
  </property>
</Properties>
</file>