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73C77" w14:textId="73B1C34A" w:rsidR="00E616AB" w:rsidRDefault="00C12BB1" w:rsidP="00C12BB1">
      <w:pPr>
        <w:spacing w:line="480" w:lineRule="auto"/>
        <w:rPr>
          <w:rFonts w:ascii="Gadugi" w:hAnsi="Gadugi"/>
          <w:b/>
          <w:bCs/>
        </w:rPr>
      </w:pPr>
      <w:r w:rsidRPr="00C12BB1">
        <w:rPr>
          <w:rFonts w:ascii="Gadugi" w:hAnsi="Gadugi"/>
          <w:b/>
          <w:bCs/>
        </w:rPr>
        <w:t xml:space="preserve">Extracorporeal carbon dioxide removal for patients with acute respiratory failure secondary to </w:t>
      </w:r>
      <w:r w:rsidR="004418E7">
        <w:rPr>
          <w:rFonts w:ascii="Gadugi" w:hAnsi="Gadugi"/>
          <w:b/>
          <w:bCs/>
        </w:rPr>
        <w:t>acute hypoxaemic respiratory failure</w:t>
      </w:r>
      <w:r w:rsidRPr="00C12BB1">
        <w:rPr>
          <w:rFonts w:ascii="Gadugi" w:hAnsi="Gadugi"/>
          <w:b/>
          <w:bCs/>
        </w:rPr>
        <w:t>: a systematic review and meta-analysis.</w:t>
      </w:r>
    </w:p>
    <w:p w14:paraId="16B81093" w14:textId="2E609F69" w:rsidR="00C12BB1" w:rsidRDefault="00C12BB1" w:rsidP="00C12BB1">
      <w:pPr>
        <w:spacing w:line="480" w:lineRule="auto"/>
        <w:rPr>
          <w:rFonts w:ascii="Gadugi" w:hAnsi="Gadugi"/>
          <w:b/>
          <w:bCs/>
        </w:rPr>
      </w:pPr>
    </w:p>
    <w:p w14:paraId="4BD05658" w14:textId="2CFD9596" w:rsidR="00C12BB1" w:rsidRDefault="00C12BB1" w:rsidP="00C12BB1">
      <w:pPr>
        <w:spacing w:line="480" w:lineRule="auto"/>
        <w:rPr>
          <w:rFonts w:ascii="Gadugi" w:hAnsi="Gadugi"/>
          <w:b/>
          <w:bCs/>
        </w:rPr>
      </w:pPr>
      <w:r>
        <w:rPr>
          <w:rFonts w:ascii="Gadugi" w:hAnsi="Gadugi"/>
          <w:b/>
          <w:bCs/>
        </w:rPr>
        <w:t>Review Protocol</w:t>
      </w:r>
    </w:p>
    <w:p w14:paraId="1760740F" w14:textId="6A5131BF" w:rsidR="00C12BB1" w:rsidRDefault="00C12BB1" w:rsidP="00C12BB1">
      <w:pPr>
        <w:spacing w:line="480" w:lineRule="auto"/>
        <w:rPr>
          <w:rFonts w:ascii="Gadugi" w:hAnsi="Gadugi"/>
          <w:b/>
          <w:bCs/>
        </w:rPr>
      </w:pPr>
    </w:p>
    <w:p w14:paraId="641FEE48" w14:textId="77777777" w:rsidR="00C12BB1" w:rsidRDefault="00C12BB1" w:rsidP="00C12BB1">
      <w:pPr>
        <w:spacing w:line="480" w:lineRule="auto"/>
        <w:rPr>
          <w:rFonts w:ascii="Gadugi" w:hAnsi="Gadugi"/>
        </w:rPr>
      </w:pPr>
    </w:p>
    <w:p w14:paraId="3727B8C8" w14:textId="77777777" w:rsidR="00C12BB1" w:rsidRDefault="00C12BB1" w:rsidP="00C12BB1">
      <w:pPr>
        <w:spacing w:line="480" w:lineRule="auto"/>
        <w:rPr>
          <w:rFonts w:ascii="Gadugi" w:hAnsi="Gadugi"/>
        </w:rPr>
      </w:pPr>
    </w:p>
    <w:p w14:paraId="3F31ECAE" w14:textId="77777777" w:rsidR="00C12BB1" w:rsidRDefault="00C12BB1" w:rsidP="00C12BB1">
      <w:pPr>
        <w:spacing w:line="480" w:lineRule="auto"/>
        <w:rPr>
          <w:rFonts w:ascii="Gadugi" w:hAnsi="Gadugi"/>
        </w:rPr>
      </w:pPr>
    </w:p>
    <w:p w14:paraId="49796FCE" w14:textId="77777777" w:rsidR="00C12BB1" w:rsidRDefault="00C12BB1" w:rsidP="00C12BB1">
      <w:pPr>
        <w:spacing w:line="480" w:lineRule="auto"/>
        <w:rPr>
          <w:rFonts w:ascii="Gadugi" w:hAnsi="Gadugi"/>
        </w:rPr>
      </w:pPr>
    </w:p>
    <w:p w14:paraId="1F088481" w14:textId="77777777" w:rsidR="00C12BB1" w:rsidRDefault="00C12BB1" w:rsidP="00C12BB1">
      <w:pPr>
        <w:spacing w:line="480" w:lineRule="auto"/>
        <w:rPr>
          <w:rFonts w:ascii="Gadugi" w:hAnsi="Gadugi"/>
        </w:rPr>
      </w:pPr>
    </w:p>
    <w:p w14:paraId="5E99B307" w14:textId="77777777" w:rsidR="00C12BB1" w:rsidRDefault="00C12BB1" w:rsidP="00C12BB1">
      <w:pPr>
        <w:spacing w:line="480" w:lineRule="auto"/>
        <w:rPr>
          <w:rFonts w:ascii="Gadugi" w:hAnsi="Gadugi"/>
        </w:rPr>
      </w:pPr>
    </w:p>
    <w:p w14:paraId="4F84B337" w14:textId="77777777" w:rsidR="00C12BB1" w:rsidRDefault="00C12BB1" w:rsidP="00C12BB1">
      <w:pPr>
        <w:spacing w:line="480" w:lineRule="auto"/>
        <w:rPr>
          <w:rFonts w:ascii="Gadugi" w:hAnsi="Gadugi"/>
        </w:rPr>
      </w:pPr>
    </w:p>
    <w:p w14:paraId="0ABC0BC1" w14:textId="77777777" w:rsidR="00C12BB1" w:rsidRDefault="00C12BB1" w:rsidP="00C12BB1">
      <w:pPr>
        <w:spacing w:line="480" w:lineRule="auto"/>
        <w:rPr>
          <w:rFonts w:ascii="Gadugi" w:hAnsi="Gadugi"/>
        </w:rPr>
      </w:pPr>
    </w:p>
    <w:p w14:paraId="1D1B9E7B" w14:textId="77777777" w:rsidR="00C12BB1" w:rsidRDefault="00C12BB1" w:rsidP="00C12BB1">
      <w:pPr>
        <w:spacing w:line="480" w:lineRule="auto"/>
        <w:rPr>
          <w:rFonts w:ascii="Gadugi" w:hAnsi="Gadugi"/>
        </w:rPr>
      </w:pPr>
    </w:p>
    <w:p w14:paraId="345BE339" w14:textId="77777777" w:rsidR="00C12BB1" w:rsidRDefault="00C12BB1" w:rsidP="00C12BB1">
      <w:pPr>
        <w:spacing w:line="480" w:lineRule="auto"/>
        <w:rPr>
          <w:rFonts w:ascii="Gadugi" w:hAnsi="Gadugi"/>
        </w:rPr>
      </w:pPr>
    </w:p>
    <w:p w14:paraId="6DA6A519" w14:textId="77777777" w:rsidR="00C12BB1" w:rsidRDefault="00C12BB1" w:rsidP="00C12BB1">
      <w:pPr>
        <w:spacing w:line="480" w:lineRule="auto"/>
        <w:rPr>
          <w:rFonts w:ascii="Gadugi" w:hAnsi="Gadugi"/>
        </w:rPr>
      </w:pPr>
    </w:p>
    <w:p w14:paraId="26D3B668" w14:textId="77777777" w:rsidR="00C12BB1" w:rsidRDefault="00C12BB1" w:rsidP="00C12BB1">
      <w:pPr>
        <w:spacing w:line="480" w:lineRule="auto"/>
        <w:rPr>
          <w:rFonts w:ascii="Gadugi" w:hAnsi="Gadugi"/>
        </w:rPr>
      </w:pPr>
    </w:p>
    <w:p w14:paraId="3E49186E" w14:textId="77777777" w:rsidR="00C12BB1" w:rsidRDefault="00C12BB1" w:rsidP="00C12BB1">
      <w:pPr>
        <w:spacing w:line="480" w:lineRule="auto"/>
        <w:rPr>
          <w:rFonts w:ascii="Gadugi" w:hAnsi="Gadugi"/>
        </w:rPr>
      </w:pPr>
    </w:p>
    <w:p w14:paraId="47EE6578" w14:textId="31300E3C" w:rsidR="00C12BB1" w:rsidRDefault="00C12BB1" w:rsidP="00C12BB1">
      <w:pPr>
        <w:spacing w:line="480" w:lineRule="auto"/>
        <w:rPr>
          <w:rFonts w:ascii="Gadugi" w:hAnsi="Gadugi"/>
        </w:rPr>
      </w:pPr>
      <w:r>
        <w:rPr>
          <w:rFonts w:ascii="Gadugi" w:hAnsi="Gadugi"/>
        </w:rPr>
        <w:t>202</w:t>
      </w:r>
      <w:r w:rsidR="004418E7">
        <w:rPr>
          <w:rFonts w:ascii="Gadugi" w:hAnsi="Gadugi"/>
        </w:rPr>
        <w:t>1-02</w:t>
      </w:r>
      <w:r>
        <w:rPr>
          <w:rFonts w:ascii="Gadugi" w:hAnsi="Gadugi"/>
        </w:rPr>
        <w:t>-</w:t>
      </w:r>
      <w:r w:rsidR="004418E7">
        <w:rPr>
          <w:rFonts w:ascii="Gadugi" w:hAnsi="Gadugi"/>
        </w:rPr>
        <w:t>05</w:t>
      </w:r>
    </w:p>
    <w:p w14:paraId="241A1C57" w14:textId="0019B386" w:rsidR="00C12BB1" w:rsidRDefault="00C12BB1" w:rsidP="00C12BB1">
      <w:pPr>
        <w:spacing w:line="480" w:lineRule="auto"/>
        <w:rPr>
          <w:rFonts w:ascii="Gadugi" w:hAnsi="Gadugi"/>
        </w:rPr>
      </w:pPr>
      <w:r>
        <w:rPr>
          <w:rFonts w:ascii="Gadugi" w:hAnsi="Gadugi"/>
        </w:rPr>
        <w:t xml:space="preserve">Version </w:t>
      </w:r>
      <w:r w:rsidR="004418E7">
        <w:rPr>
          <w:rFonts w:ascii="Gadugi" w:hAnsi="Gadugi"/>
        </w:rPr>
        <w:t>1.0</w:t>
      </w:r>
    </w:p>
    <w:p w14:paraId="6C99021F" w14:textId="450FD54F" w:rsidR="00C12BB1" w:rsidRDefault="00C12BB1" w:rsidP="00C12BB1">
      <w:pPr>
        <w:spacing w:line="480" w:lineRule="auto"/>
        <w:rPr>
          <w:rFonts w:ascii="Gadugi" w:hAnsi="Gadugi"/>
        </w:rPr>
      </w:pPr>
      <w:r>
        <w:rPr>
          <w:rFonts w:ascii="Gadugi" w:hAnsi="Gadugi"/>
        </w:rPr>
        <w:t>POSPERO ID</w:t>
      </w:r>
      <w:r w:rsidR="00D11934">
        <w:rPr>
          <w:rFonts w:ascii="Gadugi" w:hAnsi="Gadugi"/>
        </w:rPr>
        <w:t xml:space="preserve"> []</w:t>
      </w:r>
    </w:p>
    <w:p w14:paraId="43A5B7D0" w14:textId="1D9CA98E" w:rsidR="00C12BB1" w:rsidRPr="001A4752" w:rsidRDefault="00C12BB1" w:rsidP="00C12BB1">
      <w:pPr>
        <w:spacing w:line="480" w:lineRule="auto"/>
        <w:rPr>
          <w:rFonts w:ascii="Gadugi" w:hAnsi="Gadugi"/>
          <w:b/>
          <w:bCs/>
          <w:sz w:val="22"/>
          <w:szCs w:val="22"/>
        </w:rPr>
      </w:pPr>
      <w:r w:rsidRPr="001A4752">
        <w:rPr>
          <w:rFonts w:ascii="Gadugi" w:hAnsi="Gadugi"/>
          <w:b/>
          <w:bCs/>
          <w:sz w:val="22"/>
          <w:szCs w:val="22"/>
        </w:rPr>
        <w:lastRenderedPageBreak/>
        <w:t>1.  Review title</w:t>
      </w:r>
    </w:p>
    <w:p w14:paraId="70B4EFAD" w14:textId="1159CC6D" w:rsidR="00C12BB1" w:rsidRPr="001A4752" w:rsidRDefault="00C12BB1" w:rsidP="00C12BB1">
      <w:pPr>
        <w:spacing w:line="480" w:lineRule="auto"/>
        <w:rPr>
          <w:rFonts w:ascii="Gadugi" w:hAnsi="Gadugi"/>
          <w:sz w:val="20"/>
          <w:szCs w:val="20"/>
        </w:rPr>
      </w:pPr>
      <w:r w:rsidRPr="001A4752">
        <w:rPr>
          <w:rFonts w:ascii="Gadugi" w:hAnsi="Gadugi"/>
          <w:sz w:val="20"/>
          <w:szCs w:val="20"/>
        </w:rPr>
        <w:t xml:space="preserve">Extracorporeal carbon dioxide removal for patients with acute respiratory failure secondary to </w:t>
      </w:r>
      <w:r w:rsidR="004418E7">
        <w:rPr>
          <w:rFonts w:ascii="Gadugi" w:hAnsi="Gadugi"/>
          <w:sz w:val="20"/>
          <w:szCs w:val="20"/>
        </w:rPr>
        <w:t>acute hypoxaemic respiratory failure</w:t>
      </w:r>
      <w:r w:rsidRPr="001A4752">
        <w:rPr>
          <w:rFonts w:ascii="Gadugi" w:hAnsi="Gadugi"/>
          <w:sz w:val="20"/>
          <w:szCs w:val="20"/>
        </w:rPr>
        <w:t>: a systematic review and meta-analysis.</w:t>
      </w:r>
    </w:p>
    <w:p w14:paraId="1F710C1A" w14:textId="39344F7A" w:rsidR="00C12BB1" w:rsidRPr="001A4752" w:rsidRDefault="00C12BB1" w:rsidP="00C12BB1">
      <w:pPr>
        <w:spacing w:line="480" w:lineRule="auto"/>
        <w:rPr>
          <w:rFonts w:ascii="Gadugi" w:hAnsi="Gadugi"/>
          <w:b/>
          <w:bCs/>
          <w:sz w:val="22"/>
          <w:szCs w:val="22"/>
        </w:rPr>
      </w:pPr>
      <w:r w:rsidRPr="001A4752">
        <w:rPr>
          <w:rFonts w:ascii="Gadugi" w:hAnsi="Gadugi"/>
          <w:b/>
          <w:bCs/>
          <w:sz w:val="22"/>
          <w:szCs w:val="22"/>
        </w:rPr>
        <w:t>2.  Anticipated start date</w:t>
      </w:r>
    </w:p>
    <w:p w14:paraId="26D9C221" w14:textId="18685CE2" w:rsidR="00C12BB1" w:rsidRPr="001A4752" w:rsidRDefault="00C12BB1" w:rsidP="00C12BB1">
      <w:pPr>
        <w:spacing w:line="480" w:lineRule="auto"/>
        <w:rPr>
          <w:rFonts w:ascii="Gadugi" w:hAnsi="Gadugi"/>
          <w:sz w:val="20"/>
          <w:szCs w:val="20"/>
        </w:rPr>
      </w:pPr>
      <w:r w:rsidRPr="001A4752">
        <w:rPr>
          <w:rFonts w:ascii="Gadugi" w:hAnsi="Gadugi"/>
          <w:sz w:val="20"/>
          <w:szCs w:val="20"/>
        </w:rPr>
        <w:t>2020-11-</w:t>
      </w:r>
      <w:r w:rsidR="00D11934">
        <w:rPr>
          <w:rFonts w:ascii="Gadugi" w:hAnsi="Gadugi"/>
          <w:sz w:val="20"/>
          <w:szCs w:val="20"/>
        </w:rPr>
        <w:t>23</w:t>
      </w:r>
    </w:p>
    <w:p w14:paraId="1B1B1B68" w14:textId="39C50CE6" w:rsidR="00C12BB1" w:rsidRPr="001A4752" w:rsidRDefault="00C12BB1" w:rsidP="00C12BB1">
      <w:pPr>
        <w:spacing w:line="480" w:lineRule="auto"/>
        <w:rPr>
          <w:rFonts w:ascii="Gadugi" w:hAnsi="Gadugi"/>
          <w:b/>
          <w:bCs/>
          <w:sz w:val="22"/>
          <w:szCs w:val="22"/>
        </w:rPr>
      </w:pPr>
      <w:r w:rsidRPr="001A4752">
        <w:rPr>
          <w:rFonts w:ascii="Gadugi" w:hAnsi="Gadugi"/>
          <w:b/>
          <w:bCs/>
          <w:sz w:val="22"/>
          <w:szCs w:val="22"/>
        </w:rPr>
        <w:t>3.  Anticipated completion date</w:t>
      </w:r>
    </w:p>
    <w:p w14:paraId="578C9C75" w14:textId="0B5A8C5A" w:rsidR="00C12BB1" w:rsidRPr="001A4752" w:rsidRDefault="00C12BB1" w:rsidP="00C12BB1">
      <w:pPr>
        <w:spacing w:line="480" w:lineRule="auto"/>
        <w:rPr>
          <w:rFonts w:ascii="Gadugi" w:hAnsi="Gadugi"/>
          <w:sz w:val="21"/>
          <w:szCs w:val="21"/>
        </w:rPr>
      </w:pPr>
      <w:r w:rsidRPr="001A4752">
        <w:rPr>
          <w:rFonts w:ascii="Gadugi" w:hAnsi="Gadugi"/>
          <w:sz w:val="21"/>
          <w:szCs w:val="21"/>
        </w:rPr>
        <w:t>202</w:t>
      </w:r>
      <w:r w:rsidR="004418E7">
        <w:rPr>
          <w:rFonts w:ascii="Gadugi" w:hAnsi="Gadugi"/>
          <w:sz w:val="21"/>
          <w:szCs w:val="21"/>
        </w:rPr>
        <w:t>1</w:t>
      </w:r>
      <w:r w:rsidRPr="001A4752">
        <w:rPr>
          <w:rFonts w:ascii="Gadugi" w:hAnsi="Gadugi"/>
          <w:sz w:val="21"/>
          <w:szCs w:val="21"/>
        </w:rPr>
        <w:t>-</w:t>
      </w:r>
      <w:r w:rsidR="004418E7">
        <w:rPr>
          <w:rFonts w:ascii="Gadugi" w:hAnsi="Gadugi"/>
          <w:sz w:val="21"/>
          <w:szCs w:val="21"/>
        </w:rPr>
        <w:t>02</w:t>
      </w:r>
      <w:r w:rsidRPr="001A4752">
        <w:rPr>
          <w:rFonts w:ascii="Gadugi" w:hAnsi="Gadugi"/>
          <w:sz w:val="21"/>
          <w:szCs w:val="21"/>
        </w:rPr>
        <w:t>-</w:t>
      </w:r>
      <w:r w:rsidR="004418E7">
        <w:rPr>
          <w:rFonts w:ascii="Gadugi" w:hAnsi="Gadugi"/>
          <w:sz w:val="21"/>
          <w:szCs w:val="21"/>
        </w:rPr>
        <w:t>28</w:t>
      </w:r>
    </w:p>
    <w:p w14:paraId="0203BA48" w14:textId="6D985519" w:rsidR="00C12BB1" w:rsidRPr="001A4752" w:rsidRDefault="00C12BB1" w:rsidP="00C12BB1">
      <w:pPr>
        <w:spacing w:line="480" w:lineRule="auto"/>
        <w:rPr>
          <w:rFonts w:ascii="Gadugi" w:hAnsi="Gadugi"/>
          <w:b/>
          <w:bCs/>
          <w:sz w:val="22"/>
          <w:szCs w:val="22"/>
        </w:rPr>
      </w:pPr>
      <w:r w:rsidRPr="001A4752">
        <w:rPr>
          <w:rFonts w:ascii="Gadugi" w:hAnsi="Gadugi"/>
          <w:b/>
          <w:bCs/>
          <w:sz w:val="22"/>
          <w:szCs w:val="22"/>
        </w:rPr>
        <w:t>4.  Review team</w:t>
      </w:r>
    </w:p>
    <w:p w14:paraId="5933119F" w14:textId="4289BC0F" w:rsidR="00C12BB1" w:rsidRPr="001A4752" w:rsidRDefault="00C12BB1" w:rsidP="00C12BB1">
      <w:pPr>
        <w:spacing w:line="480" w:lineRule="auto"/>
        <w:rPr>
          <w:rFonts w:ascii="Gadugi" w:hAnsi="Gadugi"/>
          <w:sz w:val="20"/>
          <w:szCs w:val="20"/>
        </w:rPr>
      </w:pPr>
      <w:r w:rsidRPr="001A4752">
        <w:rPr>
          <w:rFonts w:ascii="Gadugi" w:hAnsi="Gadugi"/>
          <w:sz w:val="20"/>
          <w:szCs w:val="20"/>
        </w:rPr>
        <w:t>Jonathan Millar</w:t>
      </w:r>
      <w:r w:rsidR="001A4752" w:rsidRPr="001A4752">
        <w:rPr>
          <w:rFonts w:ascii="Gadugi" w:hAnsi="Gadugi"/>
          <w:sz w:val="20"/>
          <w:szCs w:val="20"/>
        </w:rPr>
        <w:t xml:space="preserve"> (</w:t>
      </w:r>
      <w:r w:rsidRPr="001A4752">
        <w:rPr>
          <w:rFonts w:ascii="Gadugi" w:hAnsi="Gadugi"/>
          <w:sz w:val="20"/>
          <w:szCs w:val="20"/>
        </w:rPr>
        <w:t>University of Edinburgh</w:t>
      </w:r>
      <w:r w:rsidR="001A4752" w:rsidRPr="001A4752">
        <w:rPr>
          <w:rFonts w:ascii="Gadugi" w:hAnsi="Gadugi"/>
          <w:sz w:val="20"/>
          <w:szCs w:val="20"/>
        </w:rPr>
        <w:t xml:space="preserve">); </w:t>
      </w:r>
      <w:r w:rsidRPr="001A4752">
        <w:rPr>
          <w:rFonts w:ascii="Gadugi" w:hAnsi="Gadugi"/>
          <w:sz w:val="20"/>
          <w:szCs w:val="20"/>
        </w:rPr>
        <w:t>Andrew Boyle</w:t>
      </w:r>
      <w:r w:rsidR="001A4752" w:rsidRPr="001A4752">
        <w:rPr>
          <w:rFonts w:ascii="Gadugi" w:hAnsi="Gadugi"/>
          <w:sz w:val="20"/>
          <w:szCs w:val="20"/>
        </w:rPr>
        <w:t xml:space="preserve"> (</w:t>
      </w:r>
      <w:r w:rsidRPr="001A4752">
        <w:rPr>
          <w:rFonts w:ascii="Gadugi" w:hAnsi="Gadugi"/>
          <w:sz w:val="20"/>
          <w:szCs w:val="20"/>
        </w:rPr>
        <w:t>Queen’s University Belfast</w:t>
      </w:r>
      <w:r w:rsidR="001A4752" w:rsidRPr="001A4752">
        <w:rPr>
          <w:rFonts w:ascii="Gadugi" w:hAnsi="Gadugi"/>
          <w:sz w:val="20"/>
          <w:szCs w:val="20"/>
        </w:rPr>
        <w:t xml:space="preserve">); </w:t>
      </w:r>
      <w:r w:rsidR="00B25E6C">
        <w:rPr>
          <w:rFonts w:ascii="Gadugi" w:hAnsi="Gadugi"/>
          <w:sz w:val="20"/>
          <w:szCs w:val="20"/>
        </w:rPr>
        <w:t xml:space="preserve">Bronagh Blackwood (Queen’s University Belfast); </w:t>
      </w:r>
      <w:r w:rsidR="004418E7">
        <w:rPr>
          <w:rFonts w:ascii="Gadugi" w:hAnsi="Gadugi"/>
          <w:sz w:val="20"/>
          <w:szCs w:val="20"/>
        </w:rPr>
        <w:t xml:space="preserve">Claire Adams (University of Edinburgh); Tom Drake (University of Edinburgh); </w:t>
      </w:r>
      <w:r w:rsidRPr="001A4752">
        <w:rPr>
          <w:rFonts w:ascii="Gadugi" w:hAnsi="Gadugi"/>
          <w:sz w:val="20"/>
          <w:szCs w:val="20"/>
        </w:rPr>
        <w:t>James McNamee</w:t>
      </w:r>
      <w:r w:rsidR="001A4752" w:rsidRPr="001A4752">
        <w:rPr>
          <w:rFonts w:ascii="Gadugi" w:hAnsi="Gadugi"/>
          <w:sz w:val="20"/>
          <w:szCs w:val="20"/>
        </w:rPr>
        <w:t xml:space="preserve"> (</w:t>
      </w:r>
      <w:r w:rsidRPr="001A4752">
        <w:rPr>
          <w:rFonts w:ascii="Gadugi" w:hAnsi="Gadugi"/>
          <w:sz w:val="20"/>
          <w:szCs w:val="20"/>
        </w:rPr>
        <w:t>Queen’s University Belfast</w:t>
      </w:r>
      <w:r w:rsidR="001A4752" w:rsidRPr="001A4752">
        <w:rPr>
          <w:rFonts w:ascii="Gadugi" w:hAnsi="Gadugi"/>
          <w:sz w:val="20"/>
          <w:szCs w:val="20"/>
        </w:rPr>
        <w:t xml:space="preserve">); </w:t>
      </w:r>
      <w:r w:rsidRPr="001A4752">
        <w:rPr>
          <w:rFonts w:ascii="Gadugi" w:hAnsi="Gadugi"/>
          <w:sz w:val="20"/>
          <w:szCs w:val="20"/>
        </w:rPr>
        <w:t>Daniel McAuley</w:t>
      </w:r>
      <w:r w:rsidR="001A4752" w:rsidRPr="001A4752">
        <w:rPr>
          <w:rFonts w:ascii="Gadugi" w:hAnsi="Gadugi"/>
          <w:sz w:val="20"/>
          <w:szCs w:val="20"/>
        </w:rPr>
        <w:t xml:space="preserve"> (</w:t>
      </w:r>
      <w:r w:rsidRPr="001A4752">
        <w:rPr>
          <w:rFonts w:ascii="Gadugi" w:hAnsi="Gadugi"/>
          <w:sz w:val="20"/>
          <w:szCs w:val="20"/>
        </w:rPr>
        <w:t>Queen’s University Belfast</w:t>
      </w:r>
      <w:r w:rsidR="001A4752" w:rsidRPr="001A4752">
        <w:rPr>
          <w:rFonts w:ascii="Gadugi" w:hAnsi="Gadugi"/>
          <w:sz w:val="20"/>
          <w:szCs w:val="20"/>
        </w:rPr>
        <w:t>)</w:t>
      </w:r>
      <w:r w:rsidR="00623789">
        <w:rPr>
          <w:rFonts w:ascii="Gadugi" w:hAnsi="Gadugi"/>
          <w:sz w:val="20"/>
          <w:szCs w:val="20"/>
        </w:rPr>
        <w:t>.</w:t>
      </w:r>
    </w:p>
    <w:p w14:paraId="002836CE" w14:textId="274491FF" w:rsidR="00C12BB1" w:rsidRPr="001A4752" w:rsidRDefault="00C12BB1" w:rsidP="00FA3CB1">
      <w:pPr>
        <w:tabs>
          <w:tab w:val="left" w:pos="2607"/>
        </w:tabs>
        <w:spacing w:line="480" w:lineRule="auto"/>
        <w:rPr>
          <w:rFonts w:ascii="Gadugi" w:hAnsi="Gadugi"/>
          <w:b/>
          <w:bCs/>
          <w:sz w:val="22"/>
          <w:szCs w:val="22"/>
        </w:rPr>
      </w:pPr>
      <w:r w:rsidRPr="001A4752">
        <w:rPr>
          <w:rFonts w:ascii="Gadugi" w:hAnsi="Gadugi"/>
          <w:b/>
          <w:bCs/>
          <w:sz w:val="22"/>
          <w:szCs w:val="22"/>
        </w:rPr>
        <w:t>5.  Review question</w:t>
      </w:r>
      <w:r w:rsidR="00FA3CB1" w:rsidRPr="001A4752">
        <w:rPr>
          <w:rFonts w:ascii="Gadugi" w:hAnsi="Gadugi"/>
          <w:b/>
          <w:bCs/>
          <w:sz w:val="22"/>
          <w:szCs w:val="22"/>
        </w:rPr>
        <w:tab/>
      </w:r>
    </w:p>
    <w:p w14:paraId="0CA1AC65" w14:textId="237F82D1" w:rsidR="00FA3CB1" w:rsidRDefault="00F3789B" w:rsidP="007B63D9">
      <w:pPr>
        <w:tabs>
          <w:tab w:val="left" w:pos="2607"/>
        </w:tabs>
        <w:spacing w:line="480" w:lineRule="auto"/>
        <w:jc w:val="both"/>
        <w:rPr>
          <w:rFonts w:ascii="Gadugi" w:hAnsi="Gadugi"/>
          <w:sz w:val="20"/>
          <w:szCs w:val="20"/>
        </w:rPr>
      </w:pPr>
      <w:r w:rsidRPr="001A4752">
        <w:rPr>
          <w:rFonts w:ascii="Gadugi" w:hAnsi="Gadugi"/>
          <w:sz w:val="20"/>
          <w:szCs w:val="20"/>
        </w:rPr>
        <w:t xml:space="preserve">In adults (aged </w:t>
      </w:r>
      <w:r w:rsidRPr="001A4752">
        <w:rPr>
          <w:rFonts w:ascii="Gadugi" w:hAnsi="Gadugi"/>
          <w:sz w:val="20"/>
          <w:szCs w:val="20"/>
        </w:rPr>
        <w:sym w:font="Symbol" w:char="F0B3"/>
      </w:r>
      <w:r w:rsidRPr="001A4752">
        <w:rPr>
          <w:rFonts w:ascii="Gadugi" w:hAnsi="Gadugi"/>
          <w:sz w:val="20"/>
          <w:szCs w:val="20"/>
        </w:rPr>
        <w:t xml:space="preserve"> 18 years) with</w:t>
      </w:r>
      <w:r w:rsidR="004418E7">
        <w:rPr>
          <w:rFonts w:ascii="Gadugi" w:hAnsi="Gadugi"/>
          <w:sz w:val="20"/>
          <w:szCs w:val="20"/>
        </w:rPr>
        <w:t xml:space="preserve"> acute hypoxaemic respiratory failure (AHRF)</w:t>
      </w:r>
      <w:r w:rsidRPr="001A4752">
        <w:rPr>
          <w:rFonts w:ascii="Gadugi" w:hAnsi="Gadugi"/>
          <w:sz w:val="20"/>
          <w:szCs w:val="20"/>
        </w:rPr>
        <w:t xml:space="preserve">, </w:t>
      </w:r>
      <w:r w:rsidR="001A4752" w:rsidRPr="001A4752">
        <w:rPr>
          <w:rFonts w:ascii="Gadugi" w:hAnsi="Gadugi"/>
          <w:sz w:val="20"/>
          <w:szCs w:val="20"/>
        </w:rPr>
        <w:t xml:space="preserve">is </w:t>
      </w:r>
      <w:r w:rsidRPr="001A4752">
        <w:rPr>
          <w:rFonts w:ascii="Gadugi" w:hAnsi="Gadugi"/>
          <w:sz w:val="20"/>
          <w:szCs w:val="20"/>
        </w:rPr>
        <w:t>the</w:t>
      </w:r>
      <w:r w:rsidR="001A4752" w:rsidRPr="001A4752">
        <w:rPr>
          <w:rFonts w:ascii="Gadugi" w:hAnsi="Gadugi"/>
          <w:sz w:val="20"/>
          <w:szCs w:val="20"/>
        </w:rPr>
        <w:t xml:space="preserve"> </w:t>
      </w:r>
      <w:r w:rsidRPr="001A4752">
        <w:rPr>
          <w:rFonts w:ascii="Gadugi" w:hAnsi="Gadugi"/>
          <w:sz w:val="20"/>
          <w:szCs w:val="20"/>
        </w:rPr>
        <w:t>use of extracorporeal carbon dioxide removal (ECCO</w:t>
      </w:r>
      <w:r w:rsidRPr="001A4752">
        <w:rPr>
          <w:rFonts w:ascii="Gadugi" w:hAnsi="Gadugi"/>
          <w:sz w:val="20"/>
          <w:szCs w:val="20"/>
          <w:vertAlign w:val="subscript"/>
        </w:rPr>
        <w:t>2</w:t>
      </w:r>
      <w:r w:rsidRPr="001A4752">
        <w:rPr>
          <w:rFonts w:ascii="Gadugi" w:hAnsi="Gadugi"/>
          <w:sz w:val="20"/>
          <w:szCs w:val="20"/>
        </w:rPr>
        <w:t xml:space="preserve">R) compared to conventional management, </w:t>
      </w:r>
      <w:r w:rsidR="001A4752" w:rsidRPr="001A4752">
        <w:rPr>
          <w:rFonts w:ascii="Gadugi" w:hAnsi="Gadugi"/>
          <w:sz w:val="20"/>
          <w:szCs w:val="20"/>
        </w:rPr>
        <w:t>associated with an improvement in clinically important outcomes?</w:t>
      </w:r>
      <w:r w:rsidRPr="001A4752">
        <w:rPr>
          <w:rFonts w:ascii="Gadugi" w:hAnsi="Gadugi"/>
          <w:sz w:val="20"/>
          <w:szCs w:val="20"/>
        </w:rPr>
        <w:t xml:space="preserve">   </w:t>
      </w:r>
    </w:p>
    <w:p w14:paraId="125BFA27" w14:textId="07BBA6EA" w:rsidR="00C12BB1" w:rsidRDefault="00C12BB1" w:rsidP="00C12BB1">
      <w:pPr>
        <w:spacing w:line="480" w:lineRule="auto"/>
        <w:rPr>
          <w:rFonts w:ascii="Gadugi" w:hAnsi="Gadugi"/>
          <w:b/>
          <w:bCs/>
          <w:sz w:val="22"/>
          <w:szCs w:val="22"/>
        </w:rPr>
      </w:pPr>
      <w:r w:rsidRPr="001A4752">
        <w:rPr>
          <w:rFonts w:ascii="Gadugi" w:hAnsi="Gadugi"/>
          <w:b/>
          <w:bCs/>
          <w:sz w:val="22"/>
          <w:szCs w:val="22"/>
        </w:rPr>
        <w:t>6.  Search sources</w:t>
      </w:r>
    </w:p>
    <w:p w14:paraId="44FF1B53" w14:textId="30396D11" w:rsidR="001A4752" w:rsidRDefault="001A4752" w:rsidP="00C12BB1">
      <w:pPr>
        <w:spacing w:line="480" w:lineRule="auto"/>
        <w:rPr>
          <w:rFonts w:ascii="Gadugi" w:hAnsi="Gadugi"/>
          <w:i/>
          <w:iCs/>
          <w:sz w:val="20"/>
          <w:szCs w:val="20"/>
        </w:rPr>
      </w:pPr>
      <w:r w:rsidRPr="001A4752">
        <w:rPr>
          <w:rFonts w:ascii="Gadugi" w:hAnsi="Gadugi"/>
          <w:i/>
          <w:iCs/>
          <w:sz w:val="20"/>
          <w:szCs w:val="20"/>
        </w:rPr>
        <w:t>Electronic searches</w:t>
      </w:r>
    </w:p>
    <w:p w14:paraId="1D1DF5EC" w14:textId="560FF51D" w:rsidR="001A4752" w:rsidRDefault="001A4752" w:rsidP="00C12BB1">
      <w:pPr>
        <w:spacing w:line="480" w:lineRule="auto"/>
        <w:rPr>
          <w:rFonts w:ascii="Gadugi" w:hAnsi="Gadugi"/>
          <w:sz w:val="20"/>
          <w:szCs w:val="20"/>
        </w:rPr>
      </w:pPr>
      <w:r>
        <w:rPr>
          <w:rFonts w:ascii="Gadugi" w:hAnsi="Gadugi"/>
          <w:sz w:val="20"/>
          <w:szCs w:val="20"/>
        </w:rPr>
        <w:t xml:space="preserve">We will conduct a comprehensive search, without language restriction, including: </w:t>
      </w:r>
      <w:r>
        <w:rPr>
          <w:rFonts w:ascii="Gadugi" w:hAnsi="Gadugi"/>
          <w:sz w:val="20"/>
          <w:szCs w:val="20"/>
        </w:rPr>
        <w:br/>
        <w:t>- MEDLINE via PubMed (199</w:t>
      </w:r>
      <w:r w:rsidR="00AD26B3">
        <w:rPr>
          <w:rFonts w:ascii="Gadugi" w:hAnsi="Gadugi"/>
          <w:sz w:val="20"/>
          <w:szCs w:val="20"/>
        </w:rPr>
        <w:t>4</w:t>
      </w:r>
      <w:r>
        <w:rPr>
          <w:rFonts w:ascii="Gadugi" w:hAnsi="Gadugi"/>
          <w:sz w:val="20"/>
          <w:szCs w:val="20"/>
        </w:rPr>
        <w:t xml:space="preserve"> – current)</w:t>
      </w:r>
    </w:p>
    <w:p w14:paraId="22D656EB" w14:textId="356672D9" w:rsidR="001A4752" w:rsidRDefault="001A4752" w:rsidP="00C12BB1">
      <w:pPr>
        <w:spacing w:line="480" w:lineRule="auto"/>
        <w:rPr>
          <w:rFonts w:ascii="Gadugi" w:hAnsi="Gadugi"/>
          <w:sz w:val="20"/>
          <w:szCs w:val="20"/>
        </w:rPr>
      </w:pPr>
      <w:r>
        <w:rPr>
          <w:rFonts w:ascii="Gadugi" w:hAnsi="Gadugi"/>
          <w:sz w:val="20"/>
          <w:szCs w:val="20"/>
        </w:rPr>
        <w:t>- Embase (199</w:t>
      </w:r>
      <w:r w:rsidR="00AD26B3">
        <w:rPr>
          <w:rFonts w:ascii="Gadugi" w:hAnsi="Gadugi"/>
          <w:sz w:val="20"/>
          <w:szCs w:val="20"/>
        </w:rPr>
        <w:t>4</w:t>
      </w:r>
      <w:r>
        <w:rPr>
          <w:rFonts w:ascii="Gadugi" w:hAnsi="Gadugi"/>
          <w:sz w:val="20"/>
          <w:szCs w:val="20"/>
        </w:rPr>
        <w:t xml:space="preserve"> – current)</w:t>
      </w:r>
    </w:p>
    <w:p w14:paraId="7F94798E" w14:textId="4223624C" w:rsidR="001A4752" w:rsidRDefault="001A4752" w:rsidP="00C12BB1">
      <w:pPr>
        <w:spacing w:line="480" w:lineRule="auto"/>
        <w:rPr>
          <w:rFonts w:ascii="Gadugi" w:hAnsi="Gadugi"/>
          <w:sz w:val="20"/>
          <w:szCs w:val="20"/>
        </w:rPr>
      </w:pPr>
      <w:r>
        <w:rPr>
          <w:rFonts w:ascii="Gadugi" w:hAnsi="Gadugi"/>
          <w:sz w:val="20"/>
          <w:szCs w:val="20"/>
        </w:rPr>
        <w:t>We will search the following clinical trials registries for ongoing or recently completed trials:</w:t>
      </w:r>
    </w:p>
    <w:p w14:paraId="627ECB02" w14:textId="266AB947" w:rsidR="001A4752" w:rsidRPr="001A4752" w:rsidRDefault="001A4752" w:rsidP="001A4752">
      <w:pPr>
        <w:spacing w:line="480" w:lineRule="auto"/>
        <w:rPr>
          <w:rFonts w:ascii="Gadugi" w:hAnsi="Gadugi"/>
          <w:sz w:val="20"/>
          <w:szCs w:val="20"/>
        </w:rPr>
      </w:pPr>
      <w:r w:rsidRPr="001A4752">
        <w:rPr>
          <w:rFonts w:ascii="Gadugi" w:hAnsi="Gadugi"/>
          <w:sz w:val="20"/>
          <w:szCs w:val="20"/>
        </w:rPr>
        <w:t>- US NIH Ongoing Trials Register (ClinicalTrials.gov)</w:t>
      </w:r>
    </w:p>
    <w:p w14:paraId="163F07F1" w14:textId="29F081C9" w:rsidR="001A4752" w:rsidRDefault="001A4752" w:rsidP="001A4752">
      <w:pPr>
        <w:rPr>
          <w:rFonts w:ascii="Gadugi" w:hAnsi="Gadugi"/>
          <w:sz w:val="20"/>
          <w:szCs w:val="20"/>
        </w:rPr>
      </w:pPr>
      <w:r w:rsidRPr="001A4752">
        <w:rPr>
          <w:rFonts w:ascii="Gadugi" w:hAnsi="Gadugi"/>
          <w:sz w:val="20"/>
          <w:szCs w:val="20"/>
        </w:rPr>
        <w:t>- WHO International Clinical Trials Registry Platform (WHO ICTRP)</w:t>
      </w:r>
    </w:p>
    <w:p w14:paraId="6D74F741" w14:textId="77777777" w:rsidR="00FB6966" w:rsidRDefault="00FB6966" w:rsidP="001A4752">
      <w:pPr>
        <w:rPr>
          <w:rFonts w:ascii="Gadugi" w:hAnsi="Gadugi"/>
          <w:sz w:val="20"/>
          <w:szCs w:val="20"/>
        </w:rPr>
      </w:pPr>
    </w:p>
    <w:p w14:paraId="0AAFC35B" w14:textId="378E6993" w:rsidR="00E064F0" w:rsidRDefault="00E064F0" w:rsidP="001A4752">
      <w:pPr>
        <w:rPr>
          <w:rFonts w:ascii="Gadugi" w:hAnsi="Gadugi"/>
          <w:sz w:val="20"/>
          <w:szCs w:val="20"/>
        </w:rPr>
      </w:pPr>
      <w:r>
        <w:rPr>
          <w:rFonts w:ascii="Gadugi" w:hAnsi="Gadugi"/>
          <w:sz w:val="20"/>
          <w:szCs w:val="20"/>
        </w:rPr>
        <w:t xml:space="preserve">- ISRCTN registry </w:t>
      </w:r>
    </w:p>
    <w:p w14:paraId="5C4C6812" w14:textId="61C54DB0" w:rsidR="00E064F0" w:rsidRDefault="00E064F0" w:rsidP="001A4752">
      <w:pPr>
        <w:rPr>
          <w:rFonts w:ascii="Gadugi" w:hAnsi="Gadugi"/>
          <w:i/>
          <w:iCs/>
          <w:sz w:val="20"/>
          <w:szCs w:val="20"/>
        </w:rPr>
      </w:pPr>
      <w:r>
        <w:rPr>
          <w:rFonts w:ascii="Gadugi" w:hAnsi="Gadugi"/>
          <w:i/>
          <w:iCs/>
          <w:sz w:val="20"/>
          <w:szCs w:val="20"/>
        </w:rPr>
        <w:t>Other searches</w:t>
      </w:r>
    </w:p>
    <w:p w14:paraId="2182F422" w14:textId="37DC742D" w:rsidR="00E064F0" w:rsidRDefault="00E064F0" w:rsidP="001A4752">
      <w:pPr>
        <w:rPr>
          <w:rFonts w:ascii="Gadugi" w:hAnsi="Gadugi"/>
          <w:i/>
          <w:iCs/>
          <w:sz w:val="20"/>
          <w:szCs w:val="20"/>
        </w:rPr>
      </w:pPr>
    </w:p>
    <w:p w14:paraId="1CCE0297" w14:textId="264626E9" w:rsidR="00E064F0" w:rsidRPr="00E064F0" w:rsidRDefault="00E064F0" w:rsidP="007B63D9">
      <w:pPr>
        <w:spacing w:line="480" w:lineRule="auto"/>
        <w:jc w:val="both"/>
        <w:rPr>
          <w:rFonts w:ascii="Gadugi" w:hAnsi="Gadugi"/>
          <w:sz w:val="20"/>
          <w:szCs w:val="20"/>
        </w:rPr>
      </w:pPr>
      <w:r>
        <w:rPr>
          <w:rFonts w:ascii="Gadugi" w:hAnsi="Gadugi"/>
          <w:sz w:val="20"/>
          <w:szCs w:val="20"/>
        </w:rPr>
        <w:lastRenderedPageBreak/>
        <w:t xml:space="preserve">We will manually review the reference lists of all included studies for relevant articles not identified in the primary search. </w:t>
      </w:r>
    </w:p>
    <w:p w14:paraId="0CE5FC12" w14:textId="4D777009" w:rsidR="00C12BB1" w:rsidRDefault="00C12BB1" w:rsidP="00C12BB1">
      <w:pPr>
        <w:spacing w:line="480" w:lineRule="auto"/>
        <w:rPr>
          <w:rFonts w:ascii="Gadugi" w:hAnsi="Gadugi"/>
          <w:b/>
          <w:bCs/>
          <w:sz w:val="22"/>
          <w:szCs w:val="22"/>
        </w:rPr>
      </w:pPr>
      <w:r w:rsidRPr="00E064F0">
        <w:rPr>
          <w:rFonts w:ascii="Gadugi" w:hAnsi="Gadugi"/>
          <w:b/>
          <w:bCs/>
          <w:sz w:val="22"/>
          <w:szCs w:val="22"/>
        </w:rPr>
        <w:t>7.  Search strategy</w:t>
      </w:r>
    </w:p>
    <w:p w14:paraId="7A11DBEA" w14:textId="28329C53" w:rsidR="00623789" w:rsidRPr="00623789" w:rsidRDefault="00623789" w:rsidP="007B63D9">
      <w:pPr>
        <w:spacing w:line="480" w:lineRule="auto"/>
        <w:jc w:val="both"/>
        <w:rPr>
          <w:rFonts w:ascii="Gadugi" w:hAnsi="Gadugi"/>
          <w:sz w:val="20"/>
          <w:szCs w:val="20"/>
        </w:rPr>
      </w:pPr>
      <w:r>
        <w:rPr>
          <w:rFonts w:ascii="Gadugi" w:hAnsi="Gadugi"/>
          <w:sz w:val="20"/>
          <w:szCs w:val="20"/>
        </w:rPr>
        <w:t xml:space="preserve">A comprehensive search strategy was designed by an expert biomedical informatician. Search terms are specified in </w:t>
      </w:r>
      <w:r w:rsidRPr="00623789">
        <w:rPr>
          <w:rFonts w:ascii="Gadugi" w:hAnsi="Gadugi"/>
          <w:sz w:val="20"/>
          <w:szCs w:val="20"/>
        </w:rPr>
        <w:t>APPENDIX A.</w:t>
      </w:r>
    </w:p>
    <w:p w14:paraId="400D3AC0" w14:textId="62902C01" w:rsidR="00E064F0" w:rsidRPr="00E064F0" w:rsidRDefault="00E064F0" w:rsidP="00C12BB1">
      <w:pPr>
        <w:spacing w:line="480" w:lineRule="auto"/>
        <w:rPr>
          <w:rFonts w:ascii="Gadugi" w:hAnsi="Gadugi"/>
          <w:b/>
          <w:bCs/>
          <w:sz w:val="22"/>
          <w:szCs w:val="22"/>
        </w:rPr>
      </w:pPr>
      <w:r w:rsidRPr="00E064F0">
        <w:rPr>
          <w:rFonts w:ascii="Gadugi" w:hAnsi="Gadugi"/>
          <w:b/>
          <w:bCs/>
          <w:sz w:val="22"/>
          <w:szCs w:val="22"/>
        </w:rPr>
        <w:t>8.  Types of study being included</w:t>
      </w:r>
    </w:p>
    <w:p w14:paraId="4FF5092A" w14:textId="1B434444" w:rsidR="00E064F0" w:rsidRPr="00E064F0" w:rsidRDefault="00E064F0" w:rsidP="007B63D9">
      <w:pPr>
        <w:spacing w:line="480" w:lineRule="auto"/>
        <w:jc w:val="both"/>
        <w:rPr>
          <w:rFonts w:ascii="Gadugi" w:hAnsi="Gadugi"/>
          <w:sz w:val="20"/>
          <w:szCs w:val="20"/>
        </w:rPr>
      </w:pPr>
      <w:r>
        <w:rPr>
          <w:rFonts w:ascii="Gadugi" w:hAnsi="Gadugi"/>
          <w:sz w:val="20"/>
          <w:szCs w:val="20"/>
        </w:rPr>
        <w:t>We will include randomised (or quasi-randomised) trials</w:t>
      </w:r>
      <w:r w:rsidR="004418E7">
        <w:rPr>
          <w:rFonts w:ascii="Gadugi" w:hAnsi="Gadugi"/>
          <w:sz w:val="20"/>
          <w:szCs w:val="20"/>
        </w:rPr>
        <w:t xml:space="preserve">, </w:t>
      </w:r>
      <w:r>
        <w:rPr>
          <w:rFonts w:ascii="Gadugi" w:hAnsi="Gadugi"/>
          <w:sz w:val="20"/>
          <w:szCs w:val="20"/>
        </w:rPr>
        <w:t>matched cohort studies</w:t>
      </w:r>
      <w:r w:rsidR="004418E7">
        <w:rPr>
          <w:rFonts w:ascii="Gadugi" w:hAnsi="Gadugi"/>
          <w:sz w:val="20"/>
          <w:szCs w:val="20"/>
        </w:rPr>
        <w:t>, and observational studies with a clearly stated hypothesis</w:t>
      </w:r>
      <w:r>
        <w:rPr>
          <w:rFonts w:ascii="Gadugi" w:hAnsi="Gadugi"/>
          <w:sz w:val="20"/>
          <w:szCs w:val="20"/>
        </w:rPr>
        <w:t xml:space="preserve">. We will exclude </w:t>
      </w:r>
      <w:r w:rsidR="004418E7">
        <w:rPr>
          <w:rFonts w:ascii="Gadugi" w:hAnsi="Gadugi"/>
          <w:sz w:val="20"/>
          <w:szCs w:val="20"/>
        </w:rPr>
        <w:t xml:space="preserve">observational studies lacking a hypothesis and </w:t>
      </w:r>
      <w:r w:rsidR="002F31F9">
        <w:rPr>
          <w:rFonts w:ascii="Gadugi" w:hAnsi="Gadugi"/>
          <w:sz w:val="20"/>
          <w:szCs w:val="20"/>
        </w:rPr>
        <w:t>with 10 or fewer patients</w:t>
      </w:r>
      <w:r>
        <w:rPr>
          <w:rFonts w:ascii="Gadugi" w:hAnsi="Gadugi"/>
          <w:sz w:val="20"/>
          <w:szCs w:val="20"/>
        </w:rPr>
        <w:t xml:space="preserve">. </w:t>
      </w:r>
    </w:p>
    <w:p w14:paraId="64EE071E" w14:textId="04BA9F07" w:rsidR="00C12BB1" w:rsidRPr="00E064F0" w:rsidRDefault="00E064F0" w:rsidP="00C12BB1">
      <w:pPr>
        <w:spacing w:line="480" w:lineRule="auto"/>
        <w:rPr>
          <w:rFonts w:ascii="Gadugi" w:hAnsi="Gadugi"/>
          <w:b/>
          <w:bCs/>
          <w:sz w:val="22"/>
          <w:szCs w:val="22"/>
        </w:rPr>
      </w:pPr>
      <w:r>
        <w:rPr>
          <w:rFonts w:ascii="Gadugi" w:hAnsi="Gadugi"/>
          <w:b/>
          <w:bCs/>
          <w:sz w:val="22"/>
          <w:szCs w:val="22"/>
        </w:rPr>
        <w:t>9</w:t>
      </w:r>
      <w:r w:rsidR="00C12BB1" w:rsidRPr="00E064F0">
        <w:rPr>
          <w:rFonts w:ascii="Gadugi" w:hAnsi="Gadugi"/>
          <w:b/>
          <w:bCs/>
          <w:sz w:val="22"/>
          <w:szCs w:val="22"/>
        </w:rPr>
        <w:t>.  Condition being studied</w:t>
      </w:r>
    </w:p>
    <w:p w14:paraId="6BBEDFC0" w14:textId="31C52900" w:rsidR="00E064F0" w:rsidRPr="00E064F0" w:rsidRDefault="004418E7" w:rsidP="00C12BB1">
      <w:pPr>
        <w:spacing w:line="480" w:lineRule="auto"/>
        <w:rPr>
          <w:rFonts w:ascii="Gadugi" w:hAnsi="Gadugi"/>
          <w:sz w:val="20"/>
          <w:szCs w:val="20"/>
        </w:rPr>
      </w:pPr>
      <w:r>
        <w:rPr>
          <w:rFonts w:ascii="Gadugi" w:hAnsi="Gadugi"/>
          <w:sz w:val="20"/>
          <w:szCs w:val="20"/>
        </w:rPr>
        <w:t>Acute hypoxaemic respiratory failure, including Acute Respiratory Distress Syndrome (ARDS).</w:t>
      </w:r>
    </w:p>
    <w:p w14:paraId="666D1FF7" w14:textId="6FFEDF34" w:rsidR="00C12BB1" w:rsidRPr="002B7E2F" w:rsidRDefault="002B7E2F" w:rsidP="00C12BB1">
      <w:pPr>
        <w:spacing w:line="480" w:lineRule="auto"/>
        <w:rPr>
          <w:rFonts w:ascii="Gadugi" w:hAnsi="Gadugi"/>
          <w:b/>
          <w:bCs/>
          <w:sz w:val="22"/>
          <w:szCs w:val="22"/>
        </w:rPr>
      </w:pPr>
      <w:r>
        <w:rPr>
          <w:rFonts w:ascii="Gadugi" w:hAnsi="Gadugi"/>
          <w:b/>
          <w:bCs/>
          <w:sz w:val="22"/>
          <w:szCs w:val="22"/>
        </w:rPr>
        <w:t>10</w:t>
      </w:r>
      <w:r w:rsidR="00C12BB1" w:rsidRPr="002B7E2F">
        <w:rPr>
          <w:rFonts w:ascii="Gadugi" w:hAnsi="Gadugi"/>
          <w:b/>
          <w:bCs/>
          <w:sz w:val="22"/>
          <w:szCs w:val="22"/>
        </w:rPr>
        <w:t>.  Population</w:t>
      </w:r>
    </w:p>
    <w:p w14:paraId="42702E78" w14:textId="7A0FB473" w:rsidR="002B7E2F" w:rsidRDefault="00D2186E" w:rsidP="007D2D5B">
      <w:pPr>
        <w:spacing w:line="480" w:lineRule="auto"/>
        <w:rPr>
          <w:rFonts w:ascii="Gadugi" w:hAnsi="Gadugi"/>
          <w:i/>
          <w:iCs/>
          <w:sz w:val="20"/>
          <w:szCs w:val="20"/>
        </w:rPr>
      </w:pPr>
      <w:r>
        <w:rPr>
          <w:rFonts w:ascii="Gadugi" w:hAnsi="Gadugi"/>
          <w:i/>
          <w:iCs/>
          <w:sz w:val="20"/>
          <w:szCs w:val="20"/>
        </w:rPr>
        <w:t xml:space="preserve">-- </w:t>
      </w:r>
      <w:r w:rsidR="001B58FC">
        <w:rPr>
          <w:rFonts w:ascii="Gadugi" w:hAnsi="Gadugi"/>
          <w:i/>
          <w:iCs/>
          <w:sz w:val="20"/>
          <w:szCs w:val="20"/>
        </w:rPr>
        <w:t>Inclusion criteria</w:t>
      </w:r>
    </w:p>
    <w:p w14:paraId="1229A16A" w14:textId="71D107C0" w:rsidR="001B58FC" w:rsidRDefault="001B58FC" w:rsidP="007D2D5B">
      <w:pPr>
        <w:spacing w:line="480" w:lineRule="auto"/>
        <w:rPr>
          <w:rFonts w:ascii="Gadugi" w:hAnsi="Gadugi"/>
          <w:sz w:val="20"/>
          <w:szCs w:val="20"/>
        </w:rPr>
      </w:pPr>
      <w:r>
        <w:rPr>
          <w:rFonts w:ascii="Gadugi" w:hAnsi="Gadugi"/>
          <w:sz w:val="20"/>
          <w:szCs w:val="20"/>
        </w:rPr>
        <w:t>Any language</w:t>
      </w:r>
      <w:r w:rsidR="007D2D5B">
        <w:rPr>
          <w:rFonts w:ascii="Gadugi" w:hAnsi="Gadugi"/>
          <w:sz w:val="20"/>
          <w:szCs w:val="20"/>
        </w:rPr>
        <w:t>.</w:t>
      </w:r>
    </w:p>
    <w:p w14:paraId="0B353F9B" w14:textId="7B234064" w:rsidR="001B58FC" w:rsidRDefault="001B58FC" w:rsidP="007D2D5B">
      <w:pPr>
        <w:spacing w:line="480" w:lineRule="auto"/>
        <w:rPr>
          <w:rFonts w:ascii="Gadugi" w:hAnsi="Gadugi"/>
          <w:sz w:val="20"/>
          <w:szCs w:val="20"/>
        </w:rPr>
      </w:pPr>
      <w:r>
        <w:rPr>
          <w:rFonts w:ascii="Gadugi" w:hAnsi="Gadugi"/>
          <w:sz w:val="20"/>
          <w:szCs w:val="20"/>
        </w:rPr>
        <w:t xml:space="preserve">Adults (aged </w:t>
      </w:r>
      <w:r>
        <w:rPr>
          <w:rFonts w:ascii="Gadugi" w:hAnsi="Gadugi"/>
          <w:sz w:val="20"/>
          <w:szCs w:val="20"/>
        </w:rPr>
        <w:sym w:font="Symbol" w:char="F0B3"/>
      </w:r>
      <w:r>
        <w:rPr>
          <w:rFonts w:ascii="Gadugi" w:hAnsi="Gadugi"/>
          <w:sz w:val="20"/>
          <w:szCs w:val="20"/>
        </w:rPr>
        <w:t xml:space="preserve"> 18 years)</w:t>
      </w:r>
      <w:r w:rsidR="007D2D5B">
        <w:rPr>
          <w:rFonts w:ascii="Gadugi" w:hAnsi="Gadugi"/>
          <w:sz w:val="20"/>
          <w:szCs w:val="20"/>
        </w:rPr>
        <w:t>.</w:t>
      </w:r>
    </w:p>
    <w:p w14:paraId="7C7A6589" w14:textId="08FD08F2" w:rsidR="001B58FC" w:rsidRDefault="004418E7" w:rsidP="007D2D5B">
      <w:pPr>
        <w:spacing w:line="480" w:lineRule="auto"/>
        <w:rPr>
          <w:rFonts w:ascii="Gadugi" w:hAnsi="Gadugi"/>
          <w:sz w:val="20"/>
          <w:szCs w:val="20"/>
        </w:rPr>
      </w:pPr>
      <w:r>
        <w:rPr>
          <w:rFonts w:ascii="Gadugi" w:hAnsi="Gadugi"/>
          <w:sz w:val="20"/>
          <w:szCs w:val="20"/>
        </w:rPr>
        <w:t>AHRF</w:t>
      </w:r>
      <w:r w:rsidR="00EC5EC9">
        <w:rPr>
          <w:rFonts w:ascii="Gadugi" w:hAnsi="Gadugi"/>
          <w:sz w:val="20"/>
          <w:szCs w:val="20"/>
        </w:rPr>
        <w:t xml:space="preserve"> of any cause</w:t>
      </w:r>
      <w:r w:rsidR="007D2D5B">
        <w:rPr>
          <w:rFonts w:ascii="Gadugi" w:hAnsi="Gadugi"/>
          <w:sz w:val="20"/>
          <w:szCs w:val="20"/>
        </w:rPr>
        <w:t>.</w:t>
      </w:r>
    </w:p>
    <w:p w14:paraId="5124CAA4" w14:textId="5FEF9F88" w:rsidR="00623789" w:rsidRDefault="00623789" w:rsidP="007D2D5B">
      <w:pPr>
        <w:spacing w:line="480" w:lineRule="auto"/>
        <w:rPr>
          <w:rFonts w:ascii="Gadugi" w:hAnsi="Gadugi"/>
          <w:sz w:val="20"/>
          <w:szCs w:val="20"/>
        </w:rPr>
      </w:pPr>
      <w:r>
        <w:rPr>
          <w:rFonts w:ascii="Gadugi" w:hAnsi="Gadugi"/>
          <w:sz w:val="20"/>
          <w:szCs w:val="20"/>
        </w:rPr>
        <w:t>Use of ECCO</w:t>
      </w:r>
      <w:r>
        <w:rPr>
          <w:rFonts w:ascii="Gadugi" w:hAnsi="Gadugi"/>
          <w:sz w:val="20"/>
          <w:szCs w:val="20"/>
          <w:vertAlign w:val="subscript"/>
        </w:rPr>
        <w:t>2</w:t>
      </w:r>
      <w:r>
        <w:rPr>
          <w:rFonts w:ascii="Gadugi" w:hAnsi="Gadugi"/>
          <w:sz w:val="20"/>
          <w:szCs w:val="20"/>
        </w:rPr>
        <w:t>R</w:t>
      </w:r>
      <w:r w:rsidR="00B25E6C">
        <w:rPr>
          <w:rFonts w:ascii="Gadugi" w:hAnsi="Gadugi"/>
          <w:sz w:val="20"/>
          <w:szCs w:val="20"/>
        </w:rPr>
        <w:t>, veno-venous or veno-arterial.</w:t>
      </w:r>
    </w:p>
    <w:p w14:paraId="137CC5C6" w14:textId="7980EE5C" w:rsidR="007D2D5B" w:rsidRPr="007D2D5B" w:rsidRDefault="007D2D5B" w:rsidP="007D2D5B">
      <w:pPr>
        <w:spacing w:line="480" w:lineRule="auto"/>
        <w:rPr>
          <w:rFonts w:ascii="Gadugi" w:hAnsi="Gadugi"/>
          <w:sz w:val="20"/>
          <w:szCs w:val="20"/>
        </w:rPr>
      </w:pPr>
      <w:r>
        <w:rPr>
          <w:rFonts w:ascii="Gadugi" w:hAnsi="Gadugi"/>
          <w:sz w:val="20"/>
          <w:szCs w:val="20"/>
        </w:rPr>
        <w:t>Co-interventions in addition to ECCO</w:t>
      </w:r>
      <w:r w:rsidRPr="007D2D5B">
        <w:rPr>
          <w:rFonts w:ascii="Gadugi" w:hAnsi="Gadugi"/>
          <w:sz w:val="20"/>
          <w:szCs w:val="20"/>
          <w:vertAlign w:val="subscript"/>
        </w:rPr>
        <w:t>2</w:t>
      </w:r>
      <w:r>
        <w:rPr>
          <w:rFonts w:ascii="Gadugi" w:hAnsi="Gadugi"/>
          <w:sz w:val="20"/>
          <w:szCs w:val="20"/>
        </w:rPr>
        <w:t>R or mechanical ventilation (in the control group) will be permitted.</w:t>
      </w:r>
      <w:r>
        <w:rPr>
          <w:rFonts w:ascii="Gadugi" w:hAnsi="Gadugi"/>
          <w:i/>
          <w:iCs/>
          <w:sz w:val="20"/>
          <w:szCs w:val="20"/>
        </w:rPr>
        <w:br/>
      </w:r>
      <w:r w:rsidR="00D2186E">
        <w:rPr>
          <w:rFonts w:ascii="Gadugi" w:hAnsi="Gadugi"/>
          <w:i/>
          <w:iCs/>
          <w:sz w:val="20"/>
          <w:szCs w:val="20"/>
        </w:rPr>
        <w:t xml:space="preserve">-- </w:t>
      </w:r>
      <w:r>
        <w:rPr>
          <w:rFonts w:ascii="Gadugi" w:hAnsi="Gadugi"/>
          <w:i/>
          <w:iCs/>
          <w:sz w:val="20"/>
          <w:szCs w:val="20"/>
        </w:rPr>
        <w:t>Exclusion criteria</w:t>
      </w:r>
    </w:p>
    <w:p w14:paraId="0457CE4F" w14:textId="12F40A77" w:rsidR="007D2D5B" w:rsidRDefault="007D2D5B" w:rsidP="007D2D5B">
      <w:pPr>
        <w:spacing w:line="480" w:lineRule="auto"/>
        <w:rPr>
          <w:rFonts w:ascii="Gadugi" w:hAnsi="Gadugi"/>
          <w:sz w:val="20"/>
          <w:szCs w:val="20"/>
        </w:rPr>
      </w:pPr>
      <w:r>
        <w:rPr>
          <w:rFonts w:ascii="Gadugi" w:hAnsi="Gadugi"/>
          <w:sz w:val="20"/>
          <w:szCs w:val="20"/>
        </w:rPr>
        <w:t>Children (aged &lt; 18 years).</w:t>
      </w:r>
    </w:p>
    <w:p w14:paraId="37423725" w14:textId="56E03EBB" w:rsidR="000B1214" w:rsidRDefault="004418E7" w:rsidP="007D2D5B">
      <w:pPr>
        <w:spacing w:line="480" w:lineRule="auto"/>
        <w:rPr>
          <w:rFonts w:ascii="Gadugi" w:hAnsi="Gadugi"/>
          <w:sz w:val="20"/>
          <w:szCs w:val="20"/>
        </w:rPr>
      </w:pPr>
      <w:r>
        <w:rPr>
          <w:rFonts w:ascii="Gadugi" w:hAnsi="Gadugi"/>
          <w:sz w:val="20"/>
          <w:szCs w:val="20"/>
        </w:rPr>
        <w:t>Studies evaluating patients with chronic respiratory failure</w:t>
      </w:r>
      <w:r w:rsidR="000B1214">
        <w:rPr>
          <w:rFonts w:ascii="Gadugi" w:hAnsi="Gadugi"/>
          <w:sz w:val="20"/>
          <w:szCs w:val="20"/>
        </w:rPr>
        <w:t>.</w:t>
      </w:r>
    </w:p>
    <w:p w14:paraId="73D369F8" w14:textId="697E624D" w:rsidR="004418E7" w:rsidRDefault="004418E7" w:rsidP="007D2D5B">
      <w:pPr>
        <w:spacing w:line="480" w:lineRule="auto"/>
        <w:rPr>
          <w:rFonts w:ascii="Gadugi" w:hAnsi="Gadugi"/>
          <w:sz w:val="20"/>
          <w:szCs w:val="20"/>
        </w:rPr>
      </w:pPr>
      <w:r>
        <w:rPr>
          <w:rFonts w:ascii="Gadugi" w:hAnsi="Gadugi"/>
          <w:sz w:val="20"/>
          <w:szCs w:val="20"/>
        </w:rPr>
        <w:t>Studies evaluating patients with hypercarbic respiratory failure.</w:t>
      </w:r>
    </w:p>
    <w:p w14:paraId="3EC863F0" w14:textId="3D3B4EA6" w:rsidR="007D2D5B" w:rsidRDefault="007D2D5B" w:rsidP="00C12BB1">
      <w:pPr>
        <w:spacing w:line="480" w:lineRule="auto"/>
        <w:rPr>
          <w:rFonts w:ascii="Gadugi" w:hAnsi="Gadugi"/>
          <w:sz w:val="20"/>
          <w:szCs w:val="20"/>
        </w:rPr>
      </w:pPr>
      <w:r>
        <w:rPr>
          <w:rFonts w:ascii="Gadugi" w:hAnsi="Gadugi"/>
          <w:sz w:val="20"/>
          <w:szCs w:val="20"/>
        </w:rPr>
        <w:t>Studies employing extracorporeal membrane oxygenation (ECMO).</w:t>
      </w:r>
    </w:p>
    <w:p w14:paraId="573CCD76" w14:textId="4EC0C526" w:rsidR="004418E7" w:rsidRPr="007D2D5B" w:rsidRDefault="00AD26B3" w:rsidP="00C12BB1">
      <w:pPr>
        <w:spacing w:line="480" w:lineRule="auto"/>
        <w:rPr>
          <w:rFonts w:ascii="Gadugi" w:hAnsi="Gadugi"/>
          <w:sz w:val="20"/>
          <w:szCs w:val="20"/>
        </w:rPr>
      </w:pPr>
      <w:r>
        <w:rPr>
          <w:rFonts w:ascii="Gadugi" w:hAnsi="Gadugi"/>
          <w:sz w:val="20"/>
          <w:szCs w:val="20"/>
        </w:rPr>
        <w:t>Studies published prior to 1</w:t>
      </w:r>
      <w:r w:rsidRPr="00AD26B3">
        <w:rPr>
          <w:rFonts w:ascii="Gadugi" w:hAnsi="Gadugi"/>
          <w:sz w:val="20"/>
          <w:szCs w:val="20"/>
          <w:vertAlign w:val="superscript"/>
        </w:rPr>
        <w:t>st</w:t>
      </w:r>
      <w:r>
        <w:rPr>
          <w:rFonts w:ascii="Gadugi" w:hAnsi="Gadugi"/>
          <w:sz w:val="20"/>
          <w:szCs w:val="20"/>
        </w:rPr>
        <w:t xml:space="preserve"> January 1994</w:t>
      </w:r>
    </w:p>
    <w:p w14:paraId="29DB795C" w14:textId="77777777" w:rsidR="002F31F9" w:rsidRDefault="002F31F9" w:rsidP="00C12BB1">
      <w:pPr>
        <w:spacing w:line="480" w:lineRule="auto"/>
        <w:rPr>
          <w:rFonts w:ascii="Gadugi" w:hAnsi="Gadugi"/>
          <w:b/>
          <w:bCs/>
          <w:sz w:val="22"/>
          <w:szCs w:val="22"/>
        </w:rPr>
      </w:pPr>
    </w:p>
    <w:p w14:paraId="7BF206CF" w14:textId="7E9EB6E5" w:rsidR="00C12BB1" w:rsidRDefault="00C12BB1" w:rsidP="00C12BB1">
      <w:pPr>
        <w:spacing w:line="480" w:lineRule="auto"/>
        <w:rPr>
          <w:rFonts w:ascii="Gadugi" w:hAnsi="Gadugi"/>
          <w:b/>
          <w:bCs/>
          <w:sz w:val="22"/>
          <w:szCs w:val="22"/>
        </w:rPr>
      </w:pPr>
      <w:r w:rsidRPr="007D2D5B">
        <w:rPr>
          <w:rFonts w:ascii="Gadugi" w:hAnsi="Gadugi"/>
          <w:b/>
          <w:bCs/>
          <w:sz w:val="22"/>
          <w:szCs w:val="22"/>
        </w:rPr>
        <w:lastRenderedPageBreak/>
        <w:t>1</w:t>
      </w:r>
      <w:r w:rsidR="007D2D5B">
        <w:rPr>
          <w:rFonts w:ascii="Gadugi" w:hAnsi="Gadugi"/>
          <w:b/>
          <w:bCs/>
          <w:sz w:val="22"/>
          <w:szCs w:val="22"/>
        </w:rPr>
        <w:t>1</w:t>
      </w:r>
      <w:r w:rsidRPr="007D2D5B">
        <w:rPr>
          <w:rFonts w:ascii="Gadugi" w:hAnsi="Gadugi"/>
          <w:b/>
          <w:bCs/>
          <w:sz w:val="22"/>
          <w:szCs w:val="22"/>
        </w:rPr>
        <w:t>.  Intervention</w:t>
      </w:r>
    </w:p>
    <w:p w14:paraId="166FE5D2" w14:textId="749F7537" w:rsidR="00D2186E" w:rsidRPr="00D2186E" w:rsidRDefault="00623789" w:rsidP="00C12BB1">
      <w:pPr>
        <w:spacing w:line="480" w:lineRule="auto"/>
        <w:rPr>
          <w:rFonts w:ascii="Gadugi" w:hAnsi="Gadugi"/>
          <w:sz w:val="20"/>
          <w:szCs w:val="20"/>
        </w:rPr>
      </w:pPr>
      <w:r>
        <w:rPr>
          <w:rFonts w:ascii="Gadugi" w:hAnsi="Gadugi"/>
          <w:sz w:val="20"/>
          <w:szCs w:val="20"/>
        </w:rPr>
        <w:t>Extracorporeal</w:t>
      </w:r>
      <w:r w:rsidR="00D2186E">
        <w:rPr>
          <w:rFonts w:ascii="Gadugi" w:hAnsi="Gadugi"/>
          <w:sz w:val="20"/>
          <w:szCs w:val="20"/>
        </w:rPr>
        <w:t xml:space="preserve"> carbon dioxide removal (ECCO</w:t>
      </w:r>
      <w:r w:rsidR="00D2186E" w:rsidRPr="00D2186E">
        <w:rPr>
          <w:rFonts w:ascii="Gadugi" w:hAnsi="Gadugi"/>
          <w:sz w:val="20"/>
          <w:szCs w:val="20"/>
          <w:vertAlign w:val="subscript"/>
        </w:rPr>
        <w:t>2</w:t>
      </w:r>
      <w:r w:rsidR="00D2186E">
        <w:rPr>
          <w:rFonts w:ascii="Gadugi" w:hAnsi="Gadugi"/>
          <w:sz w:val="20"/>
          <w:szCs w:val="20"/>
        </w:rPr>
        <w:t xml:space="preserve">R). </w:t>
      </w:r>
    </w:p>
    <w:p w14:paraId="19355F9B" w14:textId="48F7B189" w:rsidR="00C12BB1" w:rsidRDefault="00C12BB1" w:rsidP="00C12BB1">
      <w:pPr>
        <w:spacing w:line="480" w:lineRule="auto"/>
        <w:rPr>
          <w:rFonts w:ascii="Gadugi" w:hAnsi="Gadugi"/>
          <w:b/>
          <w:bCs/>
          <w:sz w:val="22"/>
          <w:szCs w:val="22"/>
        </w:rPr>
      </w:pPr>
      <w:r w:rsidRPr="007D2D5B">
        <w:rPr>
          <w:rFonts w:ascii="Gadugi" w:hAnsi="Gadugi"/>
          <w:b/>
          <w:bCs/>
          <w:sz w:val="22"/>
          <w:szCs w:val="22"/>
        </w:rPr>
        <w:t>1</w:t>
      </w:r>
      <w:r w:rsidR="007D2D5B">
        <w:rPr>
          <w:rFonts w:ascii="Gadugi" w:hAnsi="Gadugi"/>
          <w:b/>
          <w:bCs/>
          <w:sz w:val="22"/>
          <w:szCs w:val="22"/>
        </w:rPr>
        <w:t>2</w:t>
      </w:r>
      <w:r w:rsidRPr="007D2D5B">
        <w:rPr>
          <w:rFonts w:ascii="Gadugi" w:hAnsi="Gadugi"/>
          <w:b/>
          <w:bCs/>
          <w:sz w:val="22"/>
          <w:szCs w:val="22"/>
        </w:rPr>
        <w:t>.  Control</w:t>
      </w:r>
    </w:p>
    <w:p w14:paraId="029CFFEB" w14:textId="3B3E6410" w:rsidR="00623789" w:rsidRPr="00FB6966" w:rsidRDefault="00D2186E" w:rsidP="00C12BB1">
      <w:pPr>
        <w:spacing w:line="480" w:lineRule="auto"/>
        <w:rPr>
          <w:rFonts w:ascii="Gadugi" w:hAnsi="Gadugi"/>
          <w:sz w:val="20"/>
          <w:szCs w:val="20"/>
        </w:rPr>
      </w:pPr>
      <w:r>
        <w:rPr>
          <w:rFonts w:ascii="Gadugi" w:hAnsi="Gadugi"/>
          <w:sz w:val="20"/>
          <w:szCs w:val="20"/>
        </w:rPr>
        <w:t>Conventional management</w:t>
      </w:r>
      <w:r w:rsidR="00623789">
        <w:rPr>
          <w:rFonts w:ascii="Gadugi" w:hAnsi="Gadugi"/>
          <w:sz w:val="20"/>
          <w:szCs w:val="20"/>
        </w:rPr>
        <w:t>.</w:t>
      </w:r>
    </w:p>
    <w:p w14:paraId="63626498" w14:textId="5FD7E1FF" w:rsidR="00C12BB1" w:rsidRDefault="00C12BB1" w:rsidP="00C12BB1">
      <w:pPr>
        <w:spacing w:line="480" w:lineRule="auto"/>
        <w:rPr>
          <w:rFonts w:ascii="Gadugi" w:hAnsi="Gadugi"/>
          <w:b/>
          <w:bCs/>
          <w:sz w:val="22"/>
          <w:szCs w:val="22"/>
        </w:rPr>
      </w:pPr>
      <w:r w:rsidRPr="007D2D5B">
        <w:rPr>
          <w:rFonts w:ascii="Gadugi" w:hAnsi="Gadugi"/>
          <w:b/>
          <w:bCs/>
          <w:sz w:val="22"/>
          <w:szCs w:val="22"/>
        </w:rPr>
        <w:t>1</w:t>
      </w:r>
      <w:r w:rsidR="00FB6966">
        <w:rPr>
          <w:rFonts w:ascii="Gadugi" w:hAnsi="Gadugi"/>
          <w:b/>
          <w:bCs/>
          <w:sz w:val="22"/>
          <w:szCs w:val="22"/>
        </w:rPr>
        <w:t>3</w:t>
      </w:r>
      <w:r w:rsidRPr="007D2D5B">
        <w:rPr>
          <w:rFonts w:ascii="Gadugi" w:hAnsi="Gadugi"/>
          <w:b/>
          <w:bCs/>
          <w:sz w:val="22"/>
          <w:szCs w:val="22"/>
        </w:rPr>
        <w:t>.  Main outcome</w:t>
      </w:r>
    </w:p>
    <w:p w14:paraId="4F234C25" w14:textId="23D3861E" w:rsidR="00623789" w:rsidRPr="00623789" w:rsidRDefault="00194D9D" w:rsidP="00C12BB1">
      <w:pPr>
        <w:spacing w:line="480" w:lineRule="auto"/>
        <w:rPr>
          <w:rFonts w:ascii="Gadugi" w:hAnsi="Gadugi"/>
          <w:sz w:val="20"/>
          <w:szCs w:val="20"/>
        </w:rPr>
      </w:pPr>
      <w:r>
        <w:rPr>
          <w:rFonts w:ascii="Gadugi" w:hAnsi="Gadugi"/>
          <w:sz w:val="20"/>
          <w:szCs w:val="20"/>
        </w:rPr>
        <w:t>Pooled 28-day mortality (intention-to-treat) across randomised controlled trials.</w:t>
      </w:r>
    </w:p>
    <w:p w14:paraId="78291780" w14:textId="16209F86" w:rsidR="00C12BB1" w:rsidRDefault="00C12BB1" w:rsidP="00C12BB1">
      <w:pPr>
        <w:spacing w:line="480" w:lineRule="auto"/>
        <w:rPr>
          <w:rFonts w:ascii="Gadugi" w:hAnsi="Gadugi"/>
          <w:b/>
          <w:bCs/>
          <w:sz w:val="22"/>
          <w:szCs w:val="22"/>
        </w:rPr>
      </w:pPr>
      <w:r w:rsidRPr="007D2D5B">
        <w:rPr>
          <w:rFonts w:ascii="Gadugi" w:hAnsi="Gadugi"/>
          <w:b/>
          <w:bCs/>
          <w:sz w:val="22"/>
          <w:szCs w:val="22"/>
        </w:rPr>
        <w:t>1</w:t>
      </w:r>
      <w:r w:rsidR="00FB6966">
        <w:rPr>
          <w:rFonts w:ascii="Gadugi" w:hAnsi="Gadugi"/>
          <w:b/>
          <w:bCs/>
          <w:sz w:val="22"/>
          <w:szCs w:val="22"/>
        </w:rPr>
        <w:t>3</w:t>
      </w:r>
      <w:r w:rsidRPr="007D2D5B">
        <w:rPr>
          <w:rFonts w:ascii="Gadugi" w:hAnsi="Gadugi"/>
          <w:b/>
          <w:bCs/>
          <w:sz w:val="22"/>
          <w:szCs w:val="22"/>
        </w:rPr>
        <w:t>.a.  Measures of effect</w:t>
      </w:r>
    </w:p>
    <w:p w14:paraId="3EFE2877" w14:textId="7A5A638A" w:rsidR="00194D9D" w:rsidRPr="00194D9D" w:rsidRDefault="00194D9D" w:rsidP="007B63D9">
      <w:pPr>
        <w:spacing w:line="480" w:lineRule="auto"/>
        <w:jc w:val="both"/>
        <w:rPr>
          <w:rFonts w:ascii="Gadugi" w:hAnsi="Gadugi"/>
          <w:sz w:val="20"/>
          <w:szCs w:val="20"/>
        </w:rPr>
      </w:pPr>
      <w:r>
        <w:rPr>
          <w:rFonts w:ascii="Gadugi" w:hAnsi="Gadugi"/>
          <w:sz w:val="20"/>
          <w:szCs w:val="20"/>
        </w:rPr>
        <w:t>If 28-day mortality is not reported, we will extrapolate on the basis of available data (survival curves or CONSORT diagrams) or substitute the closest common mortality timepoint.</w:t>
      </w:r>
    </w:p>
    <w:p w14:paraId="2F5AB22C" w14:textId="6B043FAF" w:rsidR="00C12BB1" w:rsidRDefault="00C12BB1" w:rsidP="00C12BB1">
      <w:pPr>
        <w:spacing w:line="480" w:lineRule="auto"/>
        <w:rPr>
          <w:rFonts w:ascii="Gadugi" w:hAnsi="Gadugi"/>
          <w:b/>
          <w:bCs/>
          <w:sz w:val="22"/>
          <w:szCs w:val="22"/>
        </w:rPr>
      </w:pPr>
      <w:r w:rsidRPr="007D2D5B">
        <w:rPr>
          <w:rFonts w:ascii="Gadugi" w:hAnsi="Gadugi"/>
          <w:b/>
          <w:bCs/>
          <w:sz w:val="22"/>
          <w:szCs w:val="22"/>
        </w:rPr>
        <w:t>1</w:t>
      </w:r>
      <w:r w:rsidR="00FB6966">
        <w:rPr>
          <w:rFonts w:ascii="Gadugi" w:hAnsi="Gadugi"/>
          <w:b/>
          <w:bCs/>
          <w:sz w:val="22"/>
          <w:szCs w:val="22"/>
        </w:rPr>
        <w:t>4</w:t>
      </w:r>
      <w:r w:rsidRPr="007D2D5B">
        <w:rPr>
          <w:rFonts w:ascii="Gadugi" w:hAnsi="Gadugi"/>
          <w:b/>
          <w:bCs/>
          <w:sz w:val="22"/>
          <w:szCs w:val="22"/>
        </w:rPr>
        <w:t>.  Additional outcomes</w:t>
      </w:r>
    </w:p>
    <w:p w14:paraId="6B768D9D" w14:textId="78FF321D" w:rsidR="000B1214" w:rsidRPr="000B1214" w:rsidRDefault="000B1214" w:rsidP="00C12BB1">
      <w:pPr>
        <w:spacing w:line="480" w:lineRule="auto"/>
        <w:rPr>
          <w:rFonts w:ascii="Gadugi" w:hAnsi="Gadugi"/>
          <w:i/>
          <w:iCs/>
          <w:sz w:val="20"/>
          <w:szCs w:val="20"/>
        </w:rPr>
      </w:pPr>
      <w:r w:rsidRPr="000B1214">
        <w:rPr>
          <w:rFonts w:ascii="Gadugi" w:hAnsi="Gadugi"/>
          <w:i/>
          <w:iCs/>
          <w:sz w:val="20"/>
          <w:szCs w:val="20"/>
        </w:rPr>
        <w:t>Randomised controlled trials only</w:t>
      </w:r>
    </w:p>
    <w:p w14:paraId="1DBE390B" w14:textId="4A65C2F0" w:rsidR="000B1214" w:rsidRDefault="000B1214" w:rsidP="00C12BB1">
      <w:pPr>
        <w:spacing w:line="480" w:lineRule="auto"/>
        <w:rPr>
          <w:rFonts w:ascii="Gadugi" w:hAnsi="Gadugi"/>
          <w:sz w:val="20"/>
          <w:szCs w:val="20"/>
        </w:rPr>
      </w:pPr>
      <w:r>
        <w:rPr>
          <w:rFonts w:ascii="Gadugi" w:hAnsi="Gadugi"/>
          <w:sz w:val="20"/>
          <w:szCs w:val="20"/>
        </w:rPr>
        <w:t>- 28-day mortality (as treated).</w:t>
      </w:r>
    </w:p>
    <w:p w14:paraId="3A368EE8" w14:textId="01E0E960" w:rsidR="000B1214" w:rsidRDefault="000B1214" w:rsidP="00C12BB1">
      <w:pPr>
        <w:spacing w:line="480" w:lineRule="auto"/>
        <w:rPr>
          <w:rFonts w:ascii="Gadugi" w:hAnsi="Gadugi"/>
          <w:sz w:val="20"/>
          <w:szCs w:val="20"/>
        </w:rPr>
      </w:pPr>
      <w:r>
        <w:rPr>
          <w:rFonts w:ascii="Gadugi" w:hAnsi="Gadugi"/>
          <w:sz w:val="20"/>
          <w:szCs w:val="20"/>
        </w:rPr>
        <w:t>- 28-day mortality (per protocol).</w:t>
      </w:r>
    </w:p>
    <w:p w14:paraId="2C65BEA6" w14:textId="75D510C0" w:rsidR="000B1214" w:rsidRDefault="000B1214" w:rsidP="00C12BB1">
      <w:pPr>
        <w:spacing w:line="480" w:lineRule="auto"/>
        <w:rPr>
          <w:rFonts w:ascii="Gadugi" w:hAnsi="Gadugi"/>
          <w:sz w:val="20"/>
          <w:szCs w:val="20"/>
        </w:rPr>
      </w:pPr>
      <w:r>
        <w:rPr>
          <w:rFonts w:ascii="Gadugi" w:hAnsi="Gadugi"/>
          <w:sz w:val="20"/>
          <w:szCs w:val="20"/>
        </w:rPr>
        <w:t>- Mortality at longest available follow-up (intention-to-treat).</w:t>
      </w:r>
    </w:p>
    <w:p w14:paraId="09F09774" w14:textId="71327CD1" w:rsidR="000B1214" w:rsidRDefault="000B1214" w:rsidP="00C12BB1">
      <w:pPr>
        <w:spacing w:line="480" w:lineRule="auto"/>
        <w:rPr>
          <w:rFonts w:ascii="Gadugi" w:hAnsi="Gadugi"/>
          <w:sz w:val="20"/>
          <w:szCs w:val="20"/>
        </w:rPr>
      </w:pPr>
      <w:r>
        <w:rPr>
          <w:rFonts w:ascii="Gadugi" w:hAnsi="Gadugi"/>
          <w:sz w:val="20"/>
          <w:szCs w:val="20"/>
        </w:rPr>
        <w:t>- Ventilator-free days (VFDs) at day 28.</w:t>
      </w:r>
    </w:p>
    <w:p w14:paraId="2299C191" w14:textId="0B9CEECA" w:rsidR="005D6C6E" w:rsidRDefault="005D6C6E" w:rsidP="00C12BB1">
      <w:pPr>
        <w:spacing w:line="480" w:lineRule="auto"/>
        <w:rPr>
          <w:rFonts w:ascii="Gadugi" w:hAnsi="Gadugi"/>
          <w:i/>
          <w:iCs/>
          <w:sz w:val="20"/>
          <w:szCs w:val="20"/>
        </w:rPr>
      </w:pPr>
      <w:r>
        <w:rPr>
          <w:rFonts w:ascii="Gadugi" w:hAnsi="Gadugi"/>
          <w:i/>
          <w:iCs/>
          <w:sz w:val="20"/>
          <w:szCs w:val="20"/>
        </w:rPr>
        <w:t>For observational studies and studies with matched controls</w:t>
      </w:r>
    </w:p>
    <w:p w14:paraId="7E160F30" w14:textId="77777777" w:rsidR="005D6C6E" w:rsidRDefault="005D6C6E" w:rsidP="005D6C6E">
      <w:pPr>
        <w:spacing w:line="480" w:lineRule="auto"/>
        <w:rPr>
          <w:rFonts w:ascii="Gadugi" w:hAnsi="Gadugi"/>
          <w:sz w:val="20"/>
          <w:szCs w:val="20"/>
        </w:rPr>
      </w:pPr>
      <w:r>
        <w:rPr>
          <w:rFonts w:ascii="Gadugi" w:hAnsi="Gadugi"/>
          <w:sz w:val="20"/>
          <w:szCs w:val="20"/>
        </w:rPr>
        <w:t>- 28-day mortality (as treated).</w:t>
      </w:r>
    </w:p>
    <w:p w14:paraId="1E8174DB" w14:textId="748E6605" w:rsidR="005D6C6E" w:rsidRPr="005D6C6E" w:rsidRDefault="005D6C6E" w:rsidP="00C12BB1">
      <w:pPr>
        <w:spacing w:line="480" w:lineRule="auto"/>
        <w:rPr>
          <w:rFonts w:ascii="Gadugi" w:hAnsi="Gadugi"/>
          <w:sz w:val="20"/>
          <w:szCs w:val="20"/>
        </w:rPr>
      </w:pPr>
      <w:r>
        <w:rPr>
          <w:rFonts w:ascii="Gadugi" w:hAnsi="Gadugi"/>
          <w:sz w:val="20"/>
          <w:szCs w:val="20"/>
        </w:rPr>
        <w:t>- Ventilator-free days (VFDs) at day 28.</w:t>
      </w:r>
    </w:p>
    <w:p w14:paraId="38EB488D" w14:textId="4B875A23" w:rsidR="000B1214" w:rsidRDefault="000B1214" w:rsidP="00C12BB1">
      <w:pPr>
        <w:spacing w:line="480" w:lineRule="auto"/>
        <w:rPr>
          <w:rFonts w:ascii="Gadugi" w:hAnsi="Gadugi"/>
          <w:i/>
          <w:iCs/>
          <w:sz w:val="20"/>
          <w:szCs w:val="20"/>
        </w:rPr>
      </w:pPr>
      <w:r>
        <w:rPr>
          <w:rFonts w:ascii="Gadugi" w:hAnsi="Gadugi"/>
          <w:i/>
          <w:iCs/>
          <w:sz w:val="20"/>
          <w:szCs w:val="20"/>
        </w:rPr>
        <w:t>All studies</w:t>
      </w:r>
    </w:p>
    <w:p w14:paraId="48321636" w14:textId="634BD098" w:rsidR="004418E7" w:rsidRDefault="00B37597" w:rsidP="00C12BB1">
      <w:pPr>
        <w:spacing w:line="480" w:lineRule="auto"/>
        <w:rPr>
          <w:rFonts w:ascii="Gadugi" w:hAnsi="Gadugi"/>
          <w:sz w:val="20"/>
          <w:szCs w:val="20"/>
        </w:rPr>
      </w:pPr>
      <w:r>
        <w:rPr>
          <w:rFonts w:ascii="Gadugi" w:hAnsi="Gadugi"/>
          <w:sz w:val="20"/>
          <w:szCs w:val="20"/>
        </w:rPr>
        <w:t>- Pooled 28-day mortality across randomised controlled trials and observational studies with matched control groups.</w:t>
      </w:r>
    </w:p>
    <w:p w14:paraId="6CB4DB92" w14:textId="64079BE2" w:rsidR="000B1214" w:rsidRDefault="000B1214" w:rsidP="000B1214">
      <w:pPr>
        <w:spacing w:line="480" w:lineRule="auto"/>
        <w:rPr>
          <w:rFonts w:ascii="Gadugi" w:hAnsi="Gadugi"/>
          <w:sz w:val="20"/>
          <w:szCs w:val="20"/>
        </w:rPr>
      </w:pPr>
      <w:r w:rsidRPr="000B1214">
        <w:rPr>
          <w:rFonts w:ascii="Gadugi" w:hAnsi="Gadugi"/>
          <w:sz w:val="20"/>
          <w:szCs w:val="20"/>
        </w:rPr>
        <w:t>-</w:t>
      </w:r>
      <w:r>
        <w:rPr>
          <w:rFonts w:ascii="Gadugi" w:hAnsi="Gadugi"/>
          <w:sz w:val="20"/>
          <w:szCs w:val="20"/>
        </w:rPr>
        <w:t xml:space="preserve"> Serious adverse events (SAEs) – all as defined by trialists.</w:t>
      </w:r>
    </w:p>
    <w:p w14:paraId="485B7AF1" w14:textId="78883FDF" w:rsidR="000B1214" w:rsidRDefault="000B1214" w:rsidP="000B1214">
      <w:pPr>
        <w:spacing w:line="480" w:lineRule="auto"/>
        <w:rPr>
          <w:rFonts w:ascii="Gadugi" w:hAnsi="Gadugi"/>
          <w:sz w:val="20"/>
          <w:szCs w:val="20"/>
        </w:rPr>
      </w:pPr>
      <w:r>
        <w:rPr>
          <w:rFonts w:ascii="Gadugi" w:hAnsi="Gadugi"/>
          <w:sz w:val="20"/>
          <w:szCs w:val="20"/>
        </w:rPr>
        <w:tab/>
        <w:t>a. Major haemorrhage (intracerebral and extracerebral).</w:t>
      </w:r>
    </w:p>
    <w:p w14:paraId="096F0F52" w14:textId="1E07436D" w:rsidR="000B1214" w:rsidRDefault="000B1214" w:rsidP="000B1214">
      <w:pPr>
        <w:spacing w:line="480" w:lineRule="auto"/>
        <w:rPr>
          <w:rFonts w:ascii="Gadugi" w:hAnsi="Gadugi"/>
          <w:sz w:val="20"/>
          <w:szCs w:val="20"/>
        </w:rPr>
      </w:pPr>
      <w:r>
        <w:rPr>
          <w:rFonts w:ascii="Gadugi" w:hAnsi="Gadugi"/>
          <w:sz w:val="20"/>
          <w:szCs w:val="20"/>
        </w:rPr>
        <w:tab/>
        <w:t>b. Complications associated with cannulation or the ECCO</w:t>
      </w:r>
      <w:r>
        <w:rPr>
          <w:rFonts w:ascii="Gadugi" w:hAnsi="Gadugi"/>
          <w:sz w:val="20"/>
          <w:szCs w:val="20"/>
          <w:vertAlign w:val="subscript"/>
        </w:rPr>
        <w:t>2</w:t>
      </w:r>
      <w:r>
        <w:rPr>
          <w:rFonts w:ascii="Gadugi" w:hAnsi="Gadugi"/>
          <w:sz w:val="20"/>
          <w:szCs w:val="20"/>
        </w:rPr>
        <w:t>R circuit.</w:t>
      </w:r>
    </w:p>
    <w:p w14:paraId="17B2785A" w14:textId="1EFD734A" w:rsidR="000B1214" w:rsidRDefault="000B1214" w:rsidP="000B1214">
      <w:pPr>
        <w:spacing w:line="480" w:lineRule="auto"/>
        <w:rPr>
          <w:rFonts w:ascii="Gadugi" w:hAnsi="Gadugi"/>
          <w:sz w:val="20"/>
          <w:szCs w:val="20"/>
        </w:rPr>
      </w:pPr>
      <w:r>
        <w:rPr>
          <w:rFonts w:ascii="Gadugi" w:hAnsi="Gadugi"/>
          <w:sz w:val="20"/>
          <w:szCs w:val="20"/>
        </w:rPr>
        <w:t>- Quantification of CO</w:t>
      </w:r>
      <w:r w:rsidRPr="000B1214">
        <w:rPr>
          <w:rFonts w:ascii="Gadugi" w:hAnsi="Gadugi"/>
          <w:sz w:val="20"/>
          <w:szCs w:val="20"/>
          <w:vertAlign w:val="subscript"/>
        </w:rPr>
        <w:t>2</w:t>
      </w:r>
      <w:r>
        <w:rPr>
          <w:rFonts w:ascii="Gadugi" w:hAnsi="Gadugi"/>
          <w:sz w:val="20"/>
          <w:szCs w:val="20"/>
        </w:rPr>
        <w:t xml:space="preserve"> removal (latest reported value until day 3).</w:t>
      </w:r>
    </w:p>
    <w:p w14:paraId="7C3C9A59" w14:textId="63EBA568" w:rsidR="000B1214" w:rsidRDefault="000B1214" w:rsidP="000B1214">
      <w:pPr>
        <w:spacing w:line="480" w:lineRule="auto"/>
        <w:rPr>
          <w:rFonts w:ascii="Gadugi" w:hAnsi="Gadugi"/>
          <w:sz w:val="20"/>
          <w:szCs w:val="20"/>
        </w:rPr>
      </w:pPr>
      <w:r>
        <w:rPr>
          <w:rFonts w:ascii="Gadugi" w:hAnsi="Gadugi"/>
          <w:sz w:val="20"/>
          <w:szCs w:val="20"/>
        </w:rPr>
        <w:t>- Change in tidal volume (latest reported value until day 3).</w:t>
      </w:r>
    </w:p>
    <w:p w14:paraId="6235827C" w14:textId="7E59F57C" w:rsidR="000B1214" w:rsidRDefault="000B1214" w:rsidP="000B1214">
      <w:pPr>
        <w:spacing w:line="480" w:lineRule="auto"/>
        <w:rPr>
          <w:rFonts w:ascii="Gadugi" w:hAnsi="Gadugi"/>
          <w:sz w:val="20"/>
          <w:szCs w:val="20"/>
        </w:rPr>
      </w:pPr>
      <w:r>
        <w:rPr>
          <w:rFonts w:ascii="Gadugi" w:hAnsi="Gadugi"/>
          <w:sz w:val="20"/>
          <w:szCs w:val="20"/>
        </w:rPr>
        <w:lastRenderedPageBreak/>
        <w:t>- Change in minute volume (latest reported value until day 3).</w:t>
      </w:r>
    </w:p>
    <w:p w14:paraId="5C2B95E0" w14:textId="1EE7BAAD" w:rsidR="000B1214" w:rsidRDefault="000B1214" w:rsidP="000B1214">
      <w:pPr>
        <w:spacing w:line="480" w:lineRule="auto"/>
        <w:rPr>
          <w:rFonts w:ascii="Gadugi" w:hAnsi="Gadugi"/>
          <w:sz w:val="20"/>
          <w:szCs w:val="20"/>
        </w:rPr>
      </w:pPr>
      <w:r>
        <w:rPr>
          <w:rFonts w:ascii="Gadugi" w:hAnsi="Gadugi"/>
          <w:sz w:val="20"/>
          <w:szCs w:val="20"/>
        </w:rPr>
        <w:t>- Change in pH (latest reported value until day 3).</w:t>
      </w:r>
    </w:p>
    <w:p w14:paraId="7D0E6928" w14:textId="1D300925" w:rsidR="000B1214" w:rsidRPr="00194D9D" w:rsidRDefault="000B1214" w:rsidP="00C12BB1">
      <w:pPr>
        <w:spacing w:line="480" w:lineRule="auto"/>
        <w:rPr>
          <w:rFonts w:ascii="Gadugi" w:hAnsi="Gadugi"/>
          <w:sz w:val="20"/>
          <w:szCs w:val="20"/>
        </w:rPr>
      </w:pPr>
      <w:r>
        <w:rPr>
          <w:rFonts w:ascii="Gadugi" w:hAnsi="Gadugi"/>
          <w:sz w:val="20"/>
          <w:szCs w:val="20"/>
        </w:rPr>
        <w:t>- Change in plateau pressure (latest reported value until day 3).</w:t>
      </w:r>
    </w:p>
    <w:p w14:paraId="032D62D8" w14:textId="6F8E8B87" w:rsidR="00C12BB1" w:rsidRDefault="00C12BB1" w:rsidP="00C12BB1">
      <w:pPr>
        <w:spacing w:line="480" w:lineRule="auto"/>
        <w:rPr>
          <w:rFonts w:ascii="Gadugi" w:hAnsi="Gadugi"/>
          <w:b/>
          <w:bCs/>
          <w:sz w:val="22"/>
          <w:szCs w:val="22"/>
        </w:rPr>
      </w:pPr>
      <w:r w:rsidRPr="007D2D5B">
        <w:rPr>
          <w:rFonts w:ascii="Gadugi" w:hAnsi="Gadugi"/>
          <w:b/>
          <w:bCs/>
          <w:sz w:val="22"/>
          <w:szCs w:val="22"/>
        </w:rPr>
        <w:t>1</w:t>
      </w:r>
      <w:r w:rsidR="00FB6966">
        <w:rPr>
          <w:rFonts w:ascii="Gadugi" w:hAnsi="Gadugi"/>
          <w:b/>
          <w:bCs/>
          <w:sz w:val="22"/>
          <w:szCs w:val="22"/>
        </w:rPr>
        <w:t>5</w:t>
      </w:r>
      <w:r w:rsidRPr="007D2D5B">
        <w:rPr>
          <w:rFonts w:ascii="Gadugi" w:hAnsi="Gadugi"/>
          <w:b/>
          <w:bCs/>
          <w:sz w:val="22"/>
          <w:szCs w:val="22"/>
        </w:rPr>
        <w:t>.   Data extraction</w:t>
      </w:r>
    </w:p>
    <w:p w14:paraId="71FFCADD" w14:textId="781A7BD2" w:rsidR="00FB6966" w:rsidRDefault="00FB6966" w:rsidP="00C12BB1">
      <w:pPr>
        <w:spacing w:line="480" w:lineRule="auto"/>
        <w:rPr>
          <w:rFonts w:ascii="Gadugi" w:hAnsi="Gadugi"/>
          <w:i/>
          <w:iCs/>
          <w:sz w:val="20"/>
          <w:szCs w:val="20"/>
        </w:rPr>
      </w:pPr>
      <w:r>
        <w:rPr>
          <w:rFonts w:ascii="Gadugi" w:hAnsi="Gadugi"/>
          <w:i/>
          <w:iCs/>
          <w:sz w:val="20"/>
          <w:szCs w:val="20"/>
        </w:rPr>
        <w:t>Selection of studies</w:t>
      </w:r>
    </w:p>
    <w:p w14:paraId="2B0D1968" w14:textId="4F57E306" w:rsidR="00FB6966" w:rsidRDefault="00FB6966" w:rsidP="007B63D9">
      <w:pPr>
        <w:spacing w:line="480" w:lineRule="auto"/>
        <w:jc w:val="both"/>
        <w:rPr>
          <w:rFonts w:ascii="Gadugi" w:hAnsi="Gadugi"/>
          <w:sz w:val="20"/>
          <w:szCs w:val="20"/>
        </w:rPr>
      </w:pPr>
      <w:r>
        <w:rPr>
          <w:rFonts w:ascii="Gadugi" w:hAnsi="Gadugi"/>
          <w:sz w:val="20"/>
          <w:szCs w:val="20"/>
        </w:rPr>
        <w:t>Article titles and abstracts obtained using the search strategy will be stored using reference management software (Endnote X9</w:t>
      </w:r>
      <w:r w:rsidR="004418E7">
        <w:rPr>
          <w:rFonts w:ascii="Gadugi" w:hAnsi="Gadugi"/>
          <w:sz w:val="20"/>
          <w:szCs w:val="20"/>
        </w:rPr>
        <w:t>, Clarivate Analytics</w:t>
      </w:r>
      <w:r w:rsidR="00B37597">
        <w:rPr>
          <w:rFonts w:ascii="Gadugi" w:hAnsi="Gadugi"/>
          <w:sz w:val="20"/>
          <w:szCs w:val="20"/>
        </w:rPr>
        <w:t>, United States</w:t>
      </w:r>
      <w:r>
        <w:rPr>
          <w:rFonts w:ascii="Gadugi" w:hAnsi="Gadugi"/>
          <w:sz w:val="20"/>
          <w:szCs w:val="20"/>
        </w:rPr>
        <w:t>).  Initial screening against</w:t>
      </w:r>
      <w:r w:rsidR="00B37597">
        <w:rPr>
          <w:rFonts w:ascii="Gadugi" w:hAnsi="Gadugi"/>
          <w:sz w:val="20"/>
          <w:szCs w:val="20"/>
        </w:rPr>
        <w:t xml:space="preserve"> </w:t>
      </w:r>
      <w:r>
        <w:rPr>
          <w:rFonts w:ascii="Gadugi" w:hAnsi="Gadugi"/>
          <w:sz w:val="20"/>
          <w:szCs w:val="20"/>
        </w:rPr>
        <w:t>eligibility</w:t>
      </w:r>
      <w:r w:rsidR="00B37597">
        <w:rPr>
          <w:rFonts w:ascii="Gadugi" w:hAnsi="Gadugi"/>
          <w:sz w:val="20"/>
          <w:szCs w:val="20"/>
        </w:rPr>
        <w:t xml:space="preserve"> criteria</w:t>
      </w:r>
      <w:r>
        <w:rPr>
          <w:rFonts w:ascii="Gadugi" w:hAnsi="Gadugi"/>
          <w:sz w:val="20"/>
          <w:szCs w:val="20"/>
        </w:rPr>
        <w:t xml:space="preserve"> will be performed by two authors independently. Inconsistencies will be resolved by discussion or reference to a third reviewer. Full text articles will be retrieved for studies matching the eligibility criteria.</w:t>
      </w:r>
    </w:p>
    <w:p w14:paraId="4DCB5460" w14:textId="1A42C537" w:rsidR="00FB6966" w:rsidRPr="00FB6966" w:rsidRDefault="00FB6966" w:rsidP="00C12BB1">
      <w:pPr>
        <w:spacing w:line="480" w:lineRule="auto"/>
        <w:rPr>
          <w:rFonts w:ascii="Gadugi" w:hAnsi="Gadugi"/>
          <w:i/>
          <w:iCs/>
          <w:sz w:val="20"/>
          <w:szCs w:val="20"/>
        </w:rPr>
      </w:pPr>
      <w:r>
        <w:rPr>
          <w:rFonts w:ascii="Gadugi" w:hAnsi="Gadugi"/>
          <w:i/>
          <w:iCs/>
          <w:sz w:val="20"/>
          <w:szCs w:val="20"/>
        </w:rPr>
        <w:t>Data extraction</w:t>
      </w:r>
    </w:p>
    <w:p w14:paraId="77F1F996" w14:textId="3C969D34" w:rsidR="00623789" w:rsidRPr="00623789" w:rsidRDefault="00623789" w:rsidP="007B63D9">
      <w:pPr>
        <w:spacing w:line="480" w:lineRule="auto"/>
        <w:jc w:val="both"/>
        <w:rPr>
          <w:rFonts w:ascii="Gadugi" w:hAnsi="Gadugi"/>
          <w:sz w:val="20"/>
          <w:szCs w:val="20"/>
        </w:rPr>
      </w:pPr>
      <w:r w:rsidRPr="00623789">
        <w:rPr>
          <w:rFonts w:ascii="Gadugi" w:hAnsi="Gadugi"/>
          <w:sz w:val="20"/>
          <w:szCs w:val="20"/>
        </w:rPr>
        <w:t xml:space="preserve">Data </w:t>
      </w:r>
      <w:r>
        <w:rPr>
          <w:rFonts w:ascii="Gadugi" w:hAnsi="Gadugi"/>
          <w:sz w:val="20"/>
          <w:szCs w:val="20"/>
        </w:rPr>
        <w:t>will be extracted by two independent reviewers</w:t>
      </w:r>
      <w:r w:rsidR="00FB6966">
        <w:rPr>
          <w:rFonts w:ascii="Gadugi" w:hAnsi="Gadugi"/>
          <w:sz w:val="20"/>
          <w:szCs w:val="20"/>
        </w:rPr>
        <w:t xml:space="preserve"> using a pre-piloted proforma (APPENDIX B)</w:t>
      </w:r>
      <w:r>
        <w:rPr>
          <w:rFonts w:ascii="Gadugi" w:hAnsi="Gadugi"/>
          <w:sz w:val="20"/>
          <w:szCs w:val="20"/>
        </w:rPr>
        <w:t xml:space="preserve">. </w:t>
      </w:r>
      <w:r w:rsidR="00FB6966">
        <w:rPr>
          <w:rFonts w:ascii="Gadugi" w:hAnsi="Gadugi"/>
          <w:sz w:val="20"/>
          <w:szCs w:val="20"/>
        </w:rPr>
        <w:t xml:space="preserve">Inconsistencies will be resolved by discussion or reference to a third reviewer. </w:t>
      </w:r>
    </w:p>
    <w:p w14:paraId="73E3EBC2" w14:textId="6B109041" w:rsidR="00C12BB1" w:rsidRDefault="00C12BB1" w:rsidP="00C12BB1">
      <w:pPr>
        <w:spacing w:line="480" w:lineRule="auto"/>
        <w:rPr>
          <w:rFonts w:ascii="Gadugi" w:hAnsi="Gadugi"/>
          <w:b/>
          <w:bCs/>
          <w:sz w:val="22"/>
          <w:szCs w:val="22"/>
        </w:rPr>
      </w:pPr>
      <w:r w:rsidRPr="007D2D5B">
        <w:rPr>
          <w:rFonts w:ascii="Gadugi" w:hAnsi="Gadugi"/>
          <w:b/>
          <w:bCs/>
          <w:sz w:val="22"/>
          <w:szCs w:val="22"/>
        </w:rPr>
        <w:t>1</w:t>
      </w:r>
      <w:r w:rsidR="00FB6966">
        <w:rPr>
          <w:rFonts w:ascii="Gadugi" w:hAnsi="Gadugi"/>
          <w:b/>
          <w:bCs/>
          <w:sz w:val="22"/>
          <w:szCs w:val="22"/>
        </w:rPr>
        <w:t>6</w:t>
      </w:r>
      <w:r w:rsidRPr="007D2D5B">
        <w:rPr>
          <w:rFonts w:ascii="Gadugi" w:hAnsi="Gadugi"/>
          <w:b/>
          <w:bCs/>
          <w:sz w:val="22"/>
          <w:szCs w:val="22"/>
        </w:rPr>
        <w:t>.  Risk of bias</w:t>
      </w:r>
    </w:p>
    <w:p w14:paraId="1F5F4644" w14:textId="7F08B587" w:rsidR="002E2C11" w:rsidRDefault="00490B2A" w:rsidP="007B63D9">
      <w:pPr>
        <w:spacing w:line="480" w:lineRule="auto"/>
        <w:jc w:val="both"/>
        <w:rPr>
          <w:rFonts w:ascii="Gadugi" w:hAnsi="Gadugi"/>
          <w:sz w:val="20"/>
          <w:szCs w:val="20"/>
        </w:rPr>
      </w:pPr>
      <w:r w:rsidRPr="00490B2A">
        <w:rPr>
          <w:rFonts w:ascii="Gadugi" w:hAnsi="Gadugi"/>
          <w:sz w:val="20"/>
          <w:szCs w:val="20"/>
        </w:rPr>
        <w:t xml:space="preserve">All </w:t>
      </w:r>
      <w:r w:rsidR="00B37597">
        <w:rPr>
          <w:rFonts w:ascii="Gadugi" w:hAnsi="Gadugi"/>
          <w:sz w:val="20"/>
          <w:szCs w:val="20"/>
        </w:rPr>
        <w:t>randomised</w:t>
      </w:r>
      <w:r w:rsidRPr="00490B2A">
        <w:rPr>
          <w:rFonts w:ascii="Gadugi" w:hAnsi="Gadugi"/>
          <w:sz w:val="20"/>
          <w:szCs w:val="20"/>
        </w:rPr>
        <w:t xml:space="preserve"> studies will be assessed for internal validity and risk of bias using domain-based evaluation as described in the Cochrane Handbook for Systematic Reviews of Interventions, Chapter 8, version 5.0.2 (Higgins 2009). The risk of bias form extracted from Chapter 8.5.1 will be used to evaluate each included study. Each study will be assessed as low, high or uncertain risk for the adequacy of sequence generation, allocation concealment, blinding, incomplete outcome data, selective outcome reporting and other bias</w:t>
      </w:r>
      <w:r>
        <w:rPr>
          <w:rFonts w:ascii="Gadugi" w:hAnsi="Gadugi"/>
          <w:sz w:val="20"/>
          <w:szCs w:val="20"/>
        </w:rPr>
        <w:t xml:space="preserve">. </w:t>
      </w:r>
    </w:p>
    <w:p w14:paraId="0C28FFEC" w14:textId="58522B16" w:rsidR="00B37597" w:rsidRPr="00FB6966" w:rsidRDefault="00B37597" w:rsidP="007B63D9">
      <w:pPr>
        <w:spacing w:line="480" w:lineRule="auto"/>
        <w:jc w:val="both"/>
        <w:rPr>
          <w:rFonts w:ascii="Gadugi" w:hAnsi="Gadugi"/>
          <w:sz w:val="20"/>
          <w:szCs w:val="20"/>
        </w:rPr>
      </w:pPr>
      <w:r>
        <w:rPr>
          <w:rFonts w:ascii="Gadugi" w:hAnsi="Gadugi"/>
          <w:sz w:val="20"/>
          <w:szCs w:val="20"/>
        </w:rPr>
        <w:t xml:space="preserve">All non-randomised studies will be assessed using the Cochrane Risk </w:t>
      </w:r>
      <w:proofErr w:type="gramStart"/>
      <w:r>
        <w:rPr>
          <w:rFonts w:ascii="Gadugi" w:hAnsi="Gadugi"/>
          <w:sz w:val="20"/>
          <w:szCs w:val="20"/>
        </w:rPr>
        <w:t>Of</w:t>
      </w:r>
      <w:proofErr w:type="gramEnd"/>
      <w:r>
        <w:rPr>
          <w:rFonts w:ascii="Gadugi" w:hAnsi="Gadugi"/>
          <w:sz w:val="20"/>
          <w:szCs w:val="20"/>
        </w:rPr>
        <w:t xml:space="preserve"> Bias In Non-randomized Studies – of Interventions (ROBINS-I) tool</w:t>
      </w:r>
      <w:r w:rsidR="005D6C6E">
        <w:rPr>
          <w:rFonts w:ascii="Gadugi" w:hAnsi="Gadugi"/>
          <w:sz w:val="20"/>
          <w:szCs w:val="20"/>
        </w:rPr>
        <w:t xml:space="preserve"> (Sterne 2016)</w:t>
      </w:r>
      <w:r>
        <w:rPr>
          <w:rFonts w:ascii="Gadugi" w:hAnsi="Gadugi"/>
          <w:sz w:val="20"/>
          <w:szCs w:val="20"/>
        </w:rPr>
        <w:t xml:space="preserve">. Each study will be assessed as low, moderate, serious, or critical </w:t>
      </w:r>
      <w:r w:rsidR="005D6C6E">
        <w:rPr>
          <w:rFonts w:ascii="Gadugi" w:hAnsi="Gadugi"/>
          <w:sz w:val="20"/>
          <w:szCs w:val="20"/>
        </w:rPr>
        <w:t>risk of bias, where there is sufficient information, for each domain and overall.</w:t>
      </w:r>
    </w:p>
    <w:p w14:paraId="7345576E" w14:textId="11D23813" w:rsidR="00FB6966" w:rsidRDefault="00C12BB1" w:rsidP="00C12BB1">
      <w:pPr>
        <w:spacing w:line="480" w:lineRule="auto"/>
        <w:rPr>
          <w:rFonts w:ascii="Gadugi" w:hAnsi="Gadugi"/>
          <w:b/>
          <w:bCs/>
          <w:sz w:val="22"/>
          <w:szCs w:val="22"/>
        </w:rPr>
      </w:pPr>
      <w:r w:rsidRPr="007D2D5B">
        <w:rPr>
          <w:rFonts w:ascii="Gadugi" w:hAnsi="Gadugi"/>
          <w:b/>
          <w:bCs/>
          <w:sz w:val="22"/>
          <w:szCs w:val="22"/>
        </w:rPr>
        <w:t>1</w:t>
      </w:r>
      <w:r w:rsidR="00FB6966">
        <w:rPr>
          <w:rFonts w:ascii="Gadugi" w:hAnsi="Gadugi"/>
          <w:b/>
          <w:bCs/>
          <w:sz w:val="22"/>
          <w:szCs w:val="22"/>
        </w:rPr>
        <w:t>7</w:t>
      </w:r>
      <w:r w:rsidRPr="007D2D5B">
        <w:rPr>
          <w:rFonts w:ascii="Gadugi" w:hAnsi="Gadugi"/>
          <w:b/>
          <w:bCs/>
          <w:sz w:val="22"/>
          <w:szCs w:val="22"/>
        </w:rPr>
        <w:t>.  Strategy for synthesis</w:t>
      </w:r>
    </w:p>
    <w:p w14:paraId="799403CD" w14:textId="77777777" w:rsidR="005D6C6E" w:rsidRPr="005D6C6E" w:rsidRDefault="005D6C6E" w:rsidP="005D6C6E">
      <w:pPr>
        <w:spacing w:line="480" w:lineRule="auto"/>
        <w:rPr>
          <w:rFonts w:ascii="Gadugi" w:hAnsi="Gadugi"/>
          <w:i/>
          <w:iCs/>
          <w:sz w:val="20"/>
          <w:szCs w:val="20"/>
        </w:rPr>
      </w:pPr>
      <w:r w:rsidRPr="005D6C6E">
        <w:rPr>
          <w:rFonts w:ascii="Gadugi" w:hAnsi="Gadugi"/>
          <w:i/>
          <w:iCs/>
          <w:sz w:val="20"/>
          <w:szCs w:val="20"/>
        </w:rPr>
        <w:t>Publication bias</w:t>
      </w:r>
    </w:p>
    <w:p w14:paraId="621E1639" w14:textId="77777777" w:rsidR="005D6C6E" w:rsidRDefault="005D6C6E" w:rsidP="005D6C6E">
      <w:pPr>
        <w:spacing w:line="480" w:lineRule="auto"/>
        <w:rPr>
          <w:rFonts w:ascii="Gadugi" w:hAnsi="Gadugi"/>
          <w:sz w:val="20"/>
          <w:szCs w:val="20"/>
        </w:rPr>
      </w:pPr>
      <w:r w:rsidRPr="005D6C6E">
        <w:rPr>
          <w:rFonts w:ascii="Gadugi" w:hAnsi="Gadugi"/>
          <w:sz w:val="20"/>
          <w:szCs w:val="20"/>
        </w:rPr>
        <w:t>Publication bias will be examined visually using funnel plots.</w:t>
      </w:r>
    </w:p>
    <w:p w14:paraId="64E9ADA2" w14:textId="48F46045" w:rsidR="005D6C6E" w:rsidRPr="005D6C6E" w:rsidRDefault="005D6C6E" w:rsidP="005D6C6E">
      <w:pPr>
        <w:spacing w:line="480" w:lineRule="auto"/>
        <w:rPr>
          <w:rFonts w:ascii="Gadugi" w:hAnsi="Gadugi"/>
          <w:sz w:val="20"/>
          <w:szCs w:val="20"/>
        </w:rPr>
      </w:pPr>
      <w:r w:rsidRPr="005D6C6E">
        <w:rPr>
          <w:rFonts w:ascii="Gadugi" w:hAnsi="Gadugi"/>
          <w:i/>
          <w:iCs/>
          <w:sz w:val="20"/>
          <w:szCs w:val="20"/>
        </w:rPr>
        <w:lastRenderedPageBreak/>
        <w:t>Heterogeneity</w:t>
      </w:r>
    </w:p>
    <w:p w14:paraId="4DFD4851" w14:textId="37477CC6" w:rsidR="005D6C6E" w:rsidRPr="005D6C6E" w:rsidRDefault="005D6C6E" w:rsidP="007B63D9">
      <w:pPr>
        <w:spacing w:line="480" w:lineRule="auto"/>
        <w:jc w:val="both"/>
        <w:rPr>
          <w:rFonts w:ascii="Gadugi" w:hAnsi="Gadugi"/>
          <w:sz w:val="20"/>
          <w:szCs w:val="20"/>
        </w:rPr>
      </w:pPr>
      <w:r w:rsidRPr="005D6C6E">
        <w:rPr>
          <w:rFonts w:ascii="Gadugi" w:hAnsi="Gadugi"/>
          <w:sz w:val="20"/>
          <w:szCs w:val="20"/>
        </w:rPr>
        <w:t>For all included studies, clinical heterogeneity across study populations will be evaluated by comparing the study inclusion criteria, age, comorbidities, year of publication and origin of patients recruited to the study. Where appropriate studies with a low level of clinical heterogeneity will be pooled using meta-analysis techniques as detailed below. Statistical heterogeneity will be measured using the I</w:t>
      </w:r>
      <w:r w:rsidRPr="005D6C6E">
        <w:rPr>
          <w:rFonts w:ascii="Gadugi" w:hAnsi="Gadugi"/>
          <w:sz w:val="20"/>
          <w:szCs w:val="20"/>
          <w:vertAlign w:val="superscript"/>
        </w:rPr>
        <w:t>2</w:t>
      </w:r>
      <w:r w:rsidRPr="005D6C6E">
        <w:rPr>
          <w:rFonts w:ascii="Gadugi" w:hAnsi="Gadugi"/>
          <w:sz w:val="20"/>
          <w:szCs w:val="20"/>
        </w:rPr>
        <w:t xml:space="preserve"> value, where 0% to 40%: might not be important, 0% to 60% may represent moderate heterogeneity, 50% to 90% may represent substantial heterogeneity, 75% to 100%: considerable heterogeneity.</w:t>
      </w:r>
    </w:p>
    <w:p w14:paraId="08CC2A10" w14:textId="77777777" w:rsidR="005D6C6E" w:rsidRPr="005D6C6E" w:rsidRDefault="005D6C6E" w:rsidP="005D6C6E">
      <w:pPr>
        <w:spacing w:line="480" w:lineRule="auto"/>
        <w:rPr>
          <w:rFonts w:ascii="Gadugi" w:hAnsi="Gadugi"/>
          <w:i/>
          <w:iCs/>
          <w:sz w:val="20"/>
          <w:szCs w:val="20"/>
        </w:rPr>
      </w:pPr>
      <w:r w:rsidRPr="005D6C6E">
        <w:rPr>
          <w:rFonts w:ascii="Gadugi" w:hAnsi="Gadugi"/>
          <w:i/>
          <w:iCs/>
          <w:sz w:val="20"/>
          <w:szCs w:val="20"/>
        </w:rPr>
        <w:t>Statistical Analysis</w:t>
      </w:r>
    </w:p>
    <w:p w14:paraId="1B766B1A" w14:textId="77777777" w:rsidR="005D6C6E" w:rsidRPr="005D6C6E" w:rsidRDefault="005D6C6E" w:rsidP="007B63D9">
      <w:pPr>
        <w:spacing w:line="480" w:lineRule="auto"/>
        <w:jc w:val="both"/>
        <w:rPr>
          <w:rFonts w:ascii="Gadugi" w:hAnsi="Gadugi"/>
          <w:sz w:val="20"/>
          <w:szCs w:val="20"/>
        </w:rPr>
      </w:pPr>
      <w:r w:rsidRPr="005D6C6E">
        <w:rPr>
          <w:rFonts w:ascii="Gadugi" w:hAnsi="Gadugi"/>
          <w:sz w:val="20"/>
          <w:szCs w:val="20"/>
        </w:rPr>
        <w:t>Where at least two studies report the same outcome measure and contain low levels of clinical heterogeneity, we will pool the effect sizes using the relevant Bayesian meta-analysis model framework. For analyses where 3 studies or fewer are available for analysis, or the event in question is rare (&lt;5% incidence in both treatment groups) we will use a fixed effects model. Where there are 4 or more studies or heterogeneity is over 50% (as measured by I</w:t>
      </w:r>
      <w:r w:rsidRPr="005D6C6E">
        <w:rPr>
          <w:rFonts w:ascii="Gadugi" w:hAnsi="Gadugi"/>
          <w:sz w:val="20"/>
          <w:szCs w:val="20"/>
          <w:vertAlign w:val="superscript"/>
        </w:rPr>
        <w:t>2</w:t>
      </w:r>
      <w:r w:rsidRPr="005D6C6E">
        <w:rPr>
          <w:rFonts w:ascii="Gadugi" w:hAnsi="Gadugi"/>
          <w:sz w:val="20"/>
          <w:szCs w:val="20"/>
        </w:rPr>
        <w:t>) we will use a random-effects model. We will use two approaches, the first pooling effects based with uniformed priors and the second where weakly informative priors are used. Weakly informative priors will be derived from observational studies, then subsequently combined with randomised controlled trials. We will use the half-</w:t>
      </w:r>
      <w:proofErr w:type="spellStart"/>
      <w:r w:rsidRPr="005D6C6E">
        <w:rPr>
          <w:rFonts w:ascii="Gadugi" w:hAnsi="Gadugi"/>
          <w:sz w:val="20"/>
          <w:szCs w:val="20"/>
        </w:rPr>
        <w:t>cauchy</w:t>
      </w:r>
      <w:proofErr w:type="spellEnd"/>
      <w:r w:rsidRPr="005D6C6E">
        <w:rPr>
          <w:rFonts w:ascii="Gadugi" w:hAnsi="Gadugi"/>
          <w:sz w:val="20"/>
          <w:szCs w:val="20"/>
        </w:rPr>
        <w:t xml:space="preserve"> distribution to generate weakly informative priors. We will also conduct a sequential analysis where we update each weakly informative effect prior (mu) with every study that is included in a chronological fashion. For the heterogeneity prior, tau, we will conduct analyses with tau set first at 0.2, then to the value of I</w:t>
      </w:r>
      <w:r w:rsidRPr="005D6C6E">
        <w:rPr>
          <w:rFonts w:ascii="Gadugi" w:hAnsi="Gadugi"/>
          <w:sz w:val="20"/>
          <w:szCs w:val="20"/>
          <w:vertAlign w:val="superscript"/>
        </w:rPr>
        <w:t>2</w:t>
      </w:r>
      <w:r w:rsidRPr="005D6C6E">
        <w:rPr>
          <w:rFonts w:ascii="Gadugi" w:hAnsi="Gadugi"/>
          <w:sz w:val="20"/>
          <w:szCs w:val="20"/>
        </w:rPr>
        <w:t xml:space="preserve"> and finally conduct sensitivity analyses by varying the value of tau between 0 and 2.0. Meta-analysis will be performed using R version 3.6.6 using the rstan and rjags program with the bayesmeta, rstan, rjags and brms packages. Pooled effect estimates, based on the posterior distribution, for binary outcomes will be presented as odds ratios, alongside the 95% credible interval. For continuous outcomes, the standardised or weighted mean difference will be used. Survival or time-to-event data will be presented as hazards ratios.</w:t>
      </w:r>
    </w:p>
    <w:p w14:paraId="28F77C45" w14:textId="77777777" w:rsidR="005D6C6E" w:rsidRPr="005D6C6E" w:rsidRDefault="005D6C6E" w:rsidP="005D6C6E">
      <w:pPr>
        <w:spacing w:line="480" w:lineRule="auto"/>
        <w:rPr>
          <w:rFonts w:ascii="Gadugi" w:hAnsi="Gadugi"/>
          <w:sz w:val="20"/>
          <w:szCs w:val="20"/>
        </w:rPr>
      </w:pPr>
    </w:p>
    <w:p w14:paraId="44B2EED4" w14:textId="4C8A7944" w:rsidR="005D6C6E" w:rsidRPr="005D6C6E" w:rsidRDefault="005D6C6E" w:rsidP="007B63D9">
      <w:pPr>
        <w:spacing w:line="480" w:lineRule="auto"/>
        <w:jc w:val="both"/>
        <w:rPr>
          <w:rFonts w:ascii="Gadugi" w:hAnsi="Gadugi"/>
          <w:sz w:val="20"/>
          <w:szCs w:val="20"/>
        </w:rPr>
      </w:pPr>
      <w:r w:rsidRPr="005D6C6E">
        <w:rPr>
          <w:rFonts w:ascii="Gadugi" w:hAnsi="Gadugi"/>
          <w:sz w:val="20"/>
          <w:szCs w:val="20"/>
        </w:rPr>
        <w:lastRenderedPageBreak/>
        <w:t>Where data are missing, we will perform a worst-best case analysis to identify whether the missing data are likely to substantially alter the size or direction of the pooled effects.</w:t>
      </w:r>
    </w:p>
    <w:p w14:paraId="1F811EF9" w14:textId="77777777" w:rsidR="005D6C6E" w:rsidRPr="005D6C6E" w:rsidRDefault="005D6C6E" w:rsidP="005D6C6E">
      <w:pPr>
        <w:spacing w:line="480" w:lineRule="auto"/>
        <w:rPr>
          <w:rFonts w:ascii="Gadugi" w:hAnsi="Gadugi"/>
          <w:i/>
          <w:iCs/>
          <w:sz w:val="20"/>
          <w:szCs w:val="20"/>
        </w:rPr>
      </w:pPr>
      <w:r w:rsidRPr="005D6C6E">
        <w:rPr>
          <w:rFonts w:ascii="Gadugi" w:hAnsi="Gadugi"/>
          <w:i/>
          <w:iCs/>
          <w:sz w:val="20"/>
          <w:szCs w:val="20"/>
        </w:rPr>
        <w:t>Trial sequential analysis</w:t>
      </w:r>
    </w:p>
    <w:p w14:paraId="48BDDB76" w14:textId="775B0E86" w:rsidR="00490B2A" w:rsidRPr="005D6C6E" w:rsidRDefault="005D6C6E" w:rsidP="007B63D9">
      <w:pPr>
        <w:spacing w:line="480" w:lineRule="auto"/>
        <w:jc w:val="both"/>
        <w:rPr>
          <w:rFonts w:ascii="Gadugi" w:hAnsi="Gadugi"/>
          <w:sz w:val="20"/>
          <w:szCs w:val="20"/>
        </w:rPr>
      </w:pPr>
      <w:r w:rsidRPr="005D6C6E">
        <w:rPr>
          <w:rFonts w:ascii="Gadugi" w:hAnsi="Gadugi"/>
          <w:sz w:val="20"/>
          <w:szCs w:val="20"/>
        </w:rPr>
        <w:t>To identify whether the required information size has been met, for each outcome we will perform a trial sequential analysis.</w:t>
      </w:r>
    </w:p>
    <w:p w14:paraId="76917166" w14:textId="63CBE742" w:rsidR="00C12BB1" w:rsidRDefault="00FB6966" w:rsidP="00C12BB1">
      <w:pPr>
        <w:spacing w:line="480" w:lineRule="auto"/>
        <w:rPr>
          <w:rFonts w:ascii="Gadugi" w:hAnsi="Gadugi"/>
          <w:b/>
          <w:bCs/>
          <w:sz w:val="22"/>
          <w:szCs w:val="22"/>
        </w:rPr>
      </w:pPr>
      <w:r>
        <w:rPr>
          <w:rFonts w:ascii="Gadugi" w:hAnsi="Gadugi"/>
          <w:b/>
          <w:bCs/>
          <w:sz w:val="22"/>
          <w:szCs w:val="22"/>
        </w:rPr>
        <w:t>18</w:t>
      </w:r>
      <w:r w:rsidR="00C12BB1" w:rsidRPr="007D2D5B">
        <w:rPr>
          <w:rFonts w:ascii="Gadugi" w:hAnsi="Gadugi"/>
          <w:b/>
          <w:bCs/>
          <w:sz w:val="22"/>
          <w:szCs w:val="22"/>
        </w:rPr>
        <w:t>.  Analysis of subgroups</w:t>
      </w:r>
    </w:p>
    <w:p w14:paraId="2073B422" w14:textId="5A4F015E" w:rsidR="00490B2A" w:rsidRPr="005D6C6E" w:rsidRDefault="005D6C6E" w:rsidP="00C12BB1">
      <w:pPr>
        <w:spacing w:line="480" w:lineRule="auto"/>
        <w:rPr>
          <w:rFonts w:ascii="Gadugi" w:hAnsi="Gadugi"/>
          <w:sz w:val="20"/>
          <w:szCs w:val="20"/>
        </w:rPr>
      </w:pPr>
      <w:r w:rsidRPr="005D6C6E">
        <w:rPr>
          <w:rFonts w:ascii="Gadugi" w:hAnsi="Gadugi"/>
          <w:sz w:val="20"/>
          <w:szCs w:val="20"/>
        </w:rPr>
        <w:t>The following sub-group analyses are anticipated:</w:t>
      </w:r>
    </w:p>
    <w:p w14:paraId="23F46079" w14:textId="33DBEEDB" w:rsidR="005D6C6E" w:rsidRPr="005D6C6E" w:rsidRDefault="005D6C6E" w:rsidP="005D6C6E">
      <w:pPr>
        <w:pStyle w:val="ListParagraph"/>
        <w:numPr>
          <w:ilvl w:val="0"/>
          <w:numId w:val="5"/>
        </w:numPr>
        <w:spacing w:line="480" w:lineRule="auto"/>
        <w:rPr>
          <w:rFonts w:ascii="Gadugi" w:hAnsi="Gadugi"/>
          <w:sz w:val="20"/>
          <w:szCs w:val="20"/>
        </w:rPr>
      </w:pPr>
      <w:r w:rsidRPr="005D6C6E">
        <w:rPr>
          <w:rFonts w:ascii="Gadugi" w:hAnsi="Gadugi"/>
          <w:sz w:val="20"/>
          <w:szCs w:val="20"/>
        </w:rPr>
        <w:t>Studies including patients with ARDS</w:t>
      </w:r>
    </w:p>
    <w:p w14:paraId="779256BD" w14:textId="0DFEB891" w:rsidR="005D6C6E" w:rsidRDefault="005D6C6E" w:rsidP="005D6C6E">
      <w:pPr>
        <w:pStyle w:val="ListParagraph"/>
        <w:numPr>
          <w:ilvl w:val="0"/>
          <w:numId w:val="5"/>
        </w:numPr>
        <w:spacing w:line="480" w:lineRule="auto"/>
        <w:rPr>
          <w:rFonts w:ascii="Gadugi" w:hAnsi="Gadugi"/>
          <w:sz w:val="20"/>
          <w:szCs w:val="20"/>
        </w:rPr>
      </w:pPr>
      <w:r w:rsidRPr="005D6C6E">
        <w:rPr>
          <w:rFonts w:ascii="Gadugi" w:hAnsi="Gadugi"/>
          <w:sz w:val="20"/>
          <w:szCs w:val="20"/>
        </w:rPr>
        <w:t>Studies including patients with a PaO</w:t>
      </w:r>
      <w:r w:rsidRPr="007B63D9">
        <w:rPr>
          <w:rFonts w:ascii="Gadugi" w:hAnsi="Gadugi"/>
          <w:sz w:val="20"/>
          <w:szCs w:val="20"/>
          <w:vertAlign w:val="subscript"/>
        </w:rPr>
        <w:t>2</w:t>
      </w:r>
      <w:r w:rsidRPr="005D6C6E">
        <w:rPr>
          <w:rFonts w:ascii="Gadugi" w:hAnsi="Gadugi"/>
          <w:sz w:val="20"/>
          <w:szCs w:val="20"/>
        </w:rPr>
        <w:t>/FiO</w:t>
      </w:r>
      <w:r w:rsidRPr="007B63D9">
        <w:rPr>
          <w:rFonts w:ascii="Gadugi" w:hAnsi="Gadugi"/>
          <w:sz w:val="20"/>
          <w:szCs w:val="20"/>
          <w:vertAlign w:val="subscript"/>
        </w:rPr>
        <w:t>2</w:t>
      </w:r>
      <w:r w:rsidRPr="005D6C6E">
        <w:rPr>
          <w:rFonts w:ascii="Gadugi" w:hAnsi="Gadugi"/>
          <w:sz w:val="20"/>
          <w:szCs w:val="20"/>
        </w:rPr>
        <w:t xml:space="preserve"> ratio &lt;150 mmHg</w:t>
      </w:r>
    </w:p>
    <w:p w14:paraId="7EB1ACE4" w14:textId="736F2D0A" w:rsidR="005D6C6E" w:rsidRDefault="007B63D9" w:rsidP="005D6C6E">
      <w:pPr>
        <w:pStyle w:val="ListParagraph"/>
        <w:numPr>
          <w:ilvl w:val="0"/>
          <w:numId w:val="5"/>
        </w:numPr>
        <w:spacing w:line="480" w:lineRule="auto"/>
        <w:rPr>
          <w:rFonts w:ascii="Gadugi" w:hAnsi="Gadugi"/>
          <w:sz w:val="20"/>
          <w:szCs w:val="20"/>
        </w:rPr>
      </w:pPr>
      <w:r>
        <w:rPr>
          <w:rFonts w:ascii="Gadugi" w:hAnsi="Gadugi"/>
          <w:sz w:val="20"/>
          <w:szCs w:val="20"/>
        </w:rPr>
        <w:t>Studies evaluating veno-venous ECCO</w:t>
      </w:r>
      <w:r w:rsidRPr="007B63D9">
        <w:rPr>
          <w:rFonts w:ascii="Gadugi" w:hAnsi="Gadugi"/>
          <w:sz w:val="20"/>
          <w:szCs w:val="20"/>
          <w:vertAlign w:val="subscript"/>
        </w:rPr>
        <w:t>2</w:t>
      </w:r>
      <w:r>
        <w:rPr>
          <w:rFonts w:ascii="Gadugi" w:hAnsi="Gadugi"/>
          <w:sz w:val="20"/>
          <w:szCs w:val="20"/>
        </w:rPr>
        <w:t>R</w:t>
      </w:r>
    </w:p>
    <w:p w14:paraId="42EED635" w14:textId="77777777" w:rsidR="007B63D9" w:rsidRPr="007B63D9" w:rsidRDefault="007B63D9" w:rsidP="007B63D9">
      <w:pPr>
        <w:spacing w:line="480" w:lineRule="auto"/>
        <w:rPr>
          <w:rFonts w:ascii="Gadugi" w:hAnsi="Gadugi"/>
          <w:i/>
          <w:iCs/>
          <w:sz w:val="20"/>
          <w:szCs w:val="20"/>
        </w:rPr>
      </w:pPr>
      <w:r w:rsidRPr="007B63D9">
        <w:rPr>
          <w:rFonts w:ascii="Gadugi" w:hAnsi="Gadugi"/>
          <w:i/>
          <w:iCs/>
          <w:sz w:val="20"/>
          <w:szCs w:val="20"/>
        </w:rPr>
        <w:t>Risk of bias</w:t>
      </w:r>
    </w:p>
    <w:p w14:paraId="5F9C7AC8" w14:textId="77777777" w:rsidR="007B63D9" w:rsidRPr="007B63D9" w:rsidRDefault="007B63D9" w:rsidP="007B63D9">
      <w:pPr>
        <w:spacing w:line="480" w:lineRule="auto"/>
        <w:jc w:val="both"/>
        <w:rPr>
          <w:rFonts w:ascii="Gadugi" w:hAnsi="Gadugi"/>
          <w:sz w:val="20"/>
          <w:szCs w:val="20"/>
        </w:rPr>
      </w:pPr>
      <w:r w:rsidRPr="007B63D9">
        <w:rPr>
          <w:rFonts w:ascii="Gadugi" w:hAnsi="Gadugi"/>
          <w:sz w:val="20"/>
          <w:szCs w:val="20"/>
        </w:rPr>
        <w:t>We will conduct subgroup analyses to identify the impact of potential sources of bias on effect estimates by excluding studies with a high risk of bias and a high or moderate risk of bias, as identified by the Cochrane Risk Of Bias tools.</w:t>
      </w:r>
    </w:p>
    <w:p w14:paraId="7351E799" w14:textId="77777777" w:rsidR="007B63D9" w:rsidRPr="007B63D9" w:rsidRDefault="007B63D9" w:rsidP="007B63D9">
      <w:pPr>
        <w:spacing w:line="480" w:lineRule="auto"/>
        <w:rPr>
          <w:rFonts w:ascii="Gadugi" w:hAnsi="Gadugi"/>
          <w:i/>
          <w:iCs/>
          <w:sz w:val="20"/>
          <w:szCs w:val="20"/>
        </w:rPr>
      </w:pPr>
      <w:r w:rsidRPr="007B63D9">
        <w:rPr>
          <w:rFonts w:ascii="Gadugi" w:hAnsi="Gadugi"/>
          <w:i/>
          <w:iCs/>
          <w:sz w:val="20"/>
          <w:szCs w:val="20"/>
        </w:rPr>
        <w:t>By study design</w:t>
      </w:r>
    </w:p>
    <w:p w14:paraId="282ED258" w14:textId="77777777" w:rsidR="007B63D9" w:rsidRPr="007B63D9" w:rsidRDefault="007B63D9" w:rsidP="007B63D9">
      <w:pPr>
        <w:spacing w:line="480" w:lineRule="auto"/>
        <w:jc w:val="both"/>
        <w:rPr>
          <w:rFonts w:ascii="Gadugi" w:hAnsi="Gadugi"/>
          <w:sz w:val="20"/>
          <w:szCs w:val="20"/>
        </w:rPr>
      </w:pPr>
      <w:r w:rsidRPr="007B63D9">
        <w:rPr>
          <w:rFonts w:ascii="Gadugi" w:hAnsi="Gadugi"/>
          <w:sz w:val="20"/>
          <w:szCs w:val="20"/>
        </w:rPr>
        <w:t>We will conduct prespecified analyses where we will exclude observational studies and pool randomised controlled trials only.</w:t>
      </w:r>
    </w:p>
    <w:p w14:paraId="0B1FDB63" w14:textId="77777777" w:rsidR="007B63D9" w:rsidRPr="007B63D9" w:rsidRDefault="007B63D9" w:rsidP="007B63D9">
      <w:pPr>
        <w:spacing w:line="480" w:lineRule="auto"/>
        <w:rPr>
          <w:rFonts w:ascii="Gadugi" w:hAnsi="Gadugi"/>
          <w:sz w:val="20"/>
          <w:szCs w:val="20"/>
        </w:rPr>
      </w:pPr>
    </w:p>
    <w:p w14:paraId="1E2170B3" w14:textId="77777777" w:rsidR="00C12BB1" w:rsidRPr="00C12BB1" w:rsidRDefault="00C12BB1" w:rsidP="00C12BB1">
      <w:pPr>
        <w:spacing w:line="480" w:lineRule="auto"/>
        <w:rPr>
          <w:rFonts w:ascii="Gadugi" w:hAnsi="Gadugi"/>
        </w:rPr>
      </w:pPr>
    </w:p>
    <w:sectPr w:rsidR="00C12BB1" w:rsidRPr="00C12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346B6"/>
    <w:multiLevelType w:val="hybridMultilevel"/>
    <w:tmpl w:val="AD2E4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4F2CE2"/>
    <w:multiLevelType w:val="hybridMultilevel"/>
    <w:tmpl w:val="F5D20EC6"/>
    <w:lvl w:ilvl="0" w:tplc="D35851AE">
      <w:start w:val="16"/>
      <w:numFmt w:val="bullet"/>
      <w:lvlText w:val="-"/>
      <w:lvlJc w:val="left"/>
      <w:pPr>
        <w:ind w:left="720" w:hanging="360"/>
      </w:pPr>
      <w:rPr>
        <w:rFonts w:ascii="Gadugi" w:eastAsiaTheme="minorHAnsi" w:hAnsi="Gadugi"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3D1629"/>
    <w:multiLevelType w:val="hybridMultilevel"/>
    <w:tmpl w:val="5AB09BFC"/>
    <w:lvl w:ilvl="0" w:tplc="32B2241A">
      <w:start w:val="18"/>
      <w:numFmt w:val="bullet"/>
      <w:lvlText w:val="-"/>
      <w:lvlJc w:val="left"/>
      <w:pPr>
        <w:ind w:left="720" w:hanging="360"/>
      </w:pPr>
      <w:rPr>
        <w:rFonts w:ascii="Gadugi" w:eastAsiaTheme="minorHAnsi" w:hAnsi="Gadug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E46828"/>
    <w:multiLevelType w:val="hybridMultilevel"/>
    <w:tmpl w:val="8F146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00191F"/>
    <w:multiLevelType w:val="hybridMultilevel"/>
    <w:tmpl w:val="730E6460"/>
    <w:lvl w:ilvl="0" w:tplc="528E742E">
      <w:start w:val="5"/>
      <w:numFmt w:val="bullet"/>
      <w:lvlText w:val=""/>
      <w:lvlJc w:val="left"/>
      <w:pPr>
        <w:ind w:left="720" w:hanging="360"/>
      </w:pPr>
      <w:rPr>
        <w:rFonts w:ascii="Gadugi" w:eastAsiaTheme="minorHAnsi" w:hAnsi="Gadugi"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B1"/>
    <w:rsid w:val="0006194E"/>
    <w:rsid w:val="000B1214"/>
    <w:rsid w:val="000C0217"/>
    <w:rsid w:val="000C4FB1"/>
    <w:rsid w:val="000F221F"/>
    <w:rsid w:val="00120352"/>
    <w:rsid w:val="00193962"/>
    <w:rsid w:val="00194D9D"/>
    <w:rsid w:val="001A1F68"/>
    <w:rsid w:val="001A2132"/>
    <w:rsid w:val="001A4752"/>
    <w:rsid w:val="001B58FC"/>
    <w:rsid w:val="001F2CB5"/>
    <w:rsid w:val="00204333"/>
    <w:rsid w:val="00245830"/>
    <w:rsid w:val="00251A81"/>
    <w:rsid w:val="002916CE"/>
    <w:rsid w:val="002946AB"/>
    <w:rsid w:val="002B7E2F"/>
    <w:rsid w:val="002C3108"/>
    <w:rsid w:val="002C7BC9"/>
    <w:rsid w:val="002D371B"/>
    <w:rsid w:val="002E2C11"/>
    <w:rsid w:val="002F31F9"/>
    <w:rsid w:val="003316BC"/>
    <w:rsid w:val="003356C8"/>
    <w:rsid w:val="00361D86"/>
    <w:rsid w:val="003B15FC"/>
    <w:rsid w:val="003B21DE"/>
    <w:rsid w:val="003D1554"/>
    <w:rsid w:val="003E0EE2"/>
    <w:rsid w:val="003F2920"/>
    <w:rsid w:val="00401001"/>
    <w:rsid w:val="00404302"/>
    <w:rsid w:val="00413667"/>
    <w:rsid w:val="004418E7"/>
    <w:rsid w:val="00463C21"/>
    <w:rsid w:val="00470F1B"/>
    <w:rsid w:val="00490B2A"/>
    <w:rsid w:val="004A0DC9"/>
    <w:rsid w:val="004C34B4"/>
    <w:rsid w:val="004F6DFB"/>
    <w:rsid w:val="00507668"/>
    <w:rsid w:val="00543D37"/>
    <w:rsid w:val="0057175B"/>
    <w:rsid w:val="005A7882"/>
    <w:rsid w:val="005D181A"/>
    <w:rsid w:val="005D6C6E"/>
    <w:rsid w:val="005E17AF"/>
    <w:rsid w:val="0062039F"/>
    <w:rsid w:val="00623789"/>
    <w:rsid w:val="006D0D0B"/>
    <w:rsid w:val="0073527A"/>
    <w:rsid w:val="00757F88"/>
    <w:rsid w:val="00760C19"/>
    <w:rsid w:val="00761E09"/>
    <w:rsid w:val="00776CFB"/>
    <w:rsid w:val="00793F4A"/>
    <w:rsid w:val="007B63D9"/>
    <w:rsid w:val="007D2D5B"/>
    <w:rsid w:val="00803512"/>
    <w:rsid w:val="008037C9"/>
    <w:rsid w:val="00807575"/>
    <w:rsid w:val="00825A5E"/>
    <w:rsid w:val="008417FA"/>
    <w:rsid w:val="00843332"/>
    <w:rsid w:val="008513FE"/>
    <w:rsid w:val="008653D4"/>
    <w:rsid w:val="008D1D18"/>
    <w:rsid w:val="008D525C"/>
    <w:rsid w:val="008E076B"/>
    <w:rsid w:val="00935FA3"/>
    <w:rsid w:val="00973C18"/>
    <w:rsid w:val="00985EF7"/>
    <w:rsid w:val="009910D5"/>
    <w:rsid w:val="00993F3A"/>
    <w:rsid w:val="009D7A03"/>
    <w:rsid w:val="00A058B5"/>
    <w:rsid w:val="00A160F0"/>
    <w:rsid w:val="00A22513"/>
    <w:rsid w:val="00A334D3"/>
    <w:rsid w:val="00A45041"/>
    <w:rsid w:val="00AC21CC"/>
    <w:rsid w:val="00AC2D1D"/>
    <w:rsid w:val="00AD222D"/>
    <w:rsid w:val="00AD26B3"/>
    <w:rsid w:val="00AD7D1E"/>
    <w:rsid w:val="00AD7D44"/>
    <w:rsid w:val="00B25E6C"/>
    <w:rsid w:val="00B25E79"/>
    <w:rsid w:val="00B37597"/>
    <w:rsid w:val="00B436A0"/>
    <w:rsid w:val="00B47D89"/>
    <w:rsid w:val="00B96747"/>
    <w:rsid w:val="00B97511"/>
    <w:rsid w:val="00BB7253"/>
    <w:rsid w:val="00BD6EFE"/>
    <w:rsid w:val="00C00582"/>
    <w:rsid w:val="00C12BB1"/>
    <w:rsid w:val="00CC3C54"/>
    <w:rsid w:val="00D11934"/>
    <w:rsid w:val="00D2186E"/>
    <w:rsid w:val="00D31EDC"/>
    <w:rsid w:val="00D63297"/>
    <w:rsid w:val="00D66CF0"/>
    <w:rsid w:val="00D82E6D"/>
    <w:rsid w:val="00DA6CA1"/>
    <w:rsid w:val="00E045E5"/>
    <w:rsid w:val="00E064F0"/>
    <w:rsid w:val="00E3657B"/>
    <w:rsid w:val="00E44364"/>
    <w:rsid w:val="00E616AB"/>
    <w:rsid w:val="00E90FA9"/>
    <w:rsid w:val="00E93104"/>
    <w:rsid w:val="00EA70FF"/>
    <w:rsid w:val="00EC3D98"/>
    <w:rsid w:val="00EC4510"/>
    <w:rsid w:val="00EC5EC9"/>
    <w:rsid w:val="00EE6DD1"/>
    <w:rsid w:val="00F2479C"/>
    <w:rsid w:val="00F3789B"/>
    <w:rsid w:val="00F82E66"/>
    <w:rsid w:val="00FA1550"/>
    <w:rsid w:val="00FA3CB1"/>
    <w:rsid w:val="00FB6966"/>
    <w:rsid w:val="00FD7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545146"/>
  <w15:chartTrackingRefBased/>
  <w15:docId w15:val="{9EDC4B50-CFD1-C844-A303-7B929E8C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D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7D89"/>
    <w:rPr>
      <w:rFonts w:ascii="Times New Roman" w:hAnsi="Times New Roman" w:cs="Times New Roman"/>
      <w:sz w:val="18"/>
      <w:szCs w:val="18"/>
    </w:rPr>
  </w:style>
  <w:style w:type="paragraph" w:styleId="ListParagraph">
    <w:name w:val="List Paragraph"/>
    <w:basedOn w:val="Normal"/>
    <w:uiPriority w:val="34"/>
    <w:qFormat/>
    <w:rsid w:val="00C12BB1"/>
    <w:pPr>
      <w:ind w:left="720"/>
      <w:contextualSpacing/>
    </w:pPr>
  </w:style>
  <w:style w:type="character" w:styleId="CommentReference">
    <w:name w:val="annotation reference"/>
    <w:basedOn w:val="DefaultParagraphFont"/>
    <w:uiPriority w:val="99"/>
    <w:semiHidden/>
    <w:unhideWhenUsed/>
    <w:rsid w:val="005D6C6E"/>
    <w:rPr>
      <w:sz w:val="16"/>
      <w:szCs w:val="16"/>
    </w:rPr>
  </w:style>
  <w:style w:type="paragraph" w:styleId="CommentText">
    <w:name w:val="annotation text"/>
    <w:basedOn w:val="Normal"/>
    <w:link w:val="CommentTextChar"/>
    <w:uiPriority w:val="99"/>
    <w:semiHidden/>
    <w:unhideWhenUsed/>
    <w:rsid w:val="005D6C6E"/>
    <w:rPr>
      <w:sz w:val="20"/>
      <w:szCs w:val="20"/>
    </w:rPr>
  </w:style>
  <w:style w:type="character" w:customStyle="1" w:styleId="CommentTextChar">
    <w:name w:val="Comment Text Char"/>
    <w:basedOn w:val="DefaultParagraphFont"/>
    <w:link w:val="CommentText"/>
    <w:uiPriority w:val="99"/>
    <w:semiHidden/>
    <w:rsid w:val="005D6C6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F26D8-3172-274B-879F-3847E887F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7</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Millar</dc:creator>
  <cp:keywords/>
  <dc:description/>
  <cp:lastModifiedBy>Jonathan Millar</cp:lastModifiedBy>
  <cp:revision>8</cp:revision>
  <dcterms:created xsi:type="dcterms:W3CDTF">2020-10-28T15:56:00Z</dcterms:created>
  <dcterms:modified xsi:type="dcterms:W3CDTF">2021-02-07T21:48:00Z</dcterms:modified>
</cp:coreProperties>
</file>